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An Exploratory Study of Self-Reported Sleep Changes During Reduced Smartphone Use Among University Students</w:t>
      </w:r>
    </w:p>
    <w:p>
      <w:pPr>
        <w:jc w:val="center"/>
      </w:pPr>
      <w:r>
        <w:rPr>
          <w:rFonts w:ascii="Times New Roman" w:hAnsi="Times New Roman"/>
          <w:sz w:val="22"/>
        </w:rPr>
        <w:t>Akol Nyok Deng Tol</w:t>
        <w:br/>
        <w:t>B.Tech Biotechnology, 3rd Year</w:t>
        <w:br/>
        <w:t>School of Biosciences, Apeejay Stya University</w:t>
        <w:br/>
        <w:t>18 October 2026</w:t>
      </w:r>
    </w:p>
    <w:p>
      <w:pPr>
        <w:pStyle w:val="Heading1"/>
      </w:pPr>
      <w:r>
        <w:t>Abstract</w:t>
      </w:r>
    </w:p>
    <w:p>
      <w:r>
        <w:t>This paper describes a small exploratory comparison of students’ self-reported sleep during periods of usual, heavier smartphone use and reduced use, including less phone use in bed. The project was initially planned as a survey of approximately 40–50 students, but that survey was not conducted and no data were collected from it. Instead, 11 people took part in an informal comparison; one later withdrew permission for their answers to be used, leaving 10 usable sets of responses. Eight of the 10 participants reported better sleep during the period of reduced use. Two participants (B and D) reported that having a phone in bed helped distract them from personal thoughts and overthinking that otherwise made it difficult to fall asleep. Two participants reported discomfort when reducing phone use, while the other eight reported no distress. Fear of missing out (FOMO) was the reason mentioned most often for heavy phone use, but the number of participants who mentioned it was not recorded. Because the procedure was informal, the outcomes were self-reported, and the sample was very small, the findings are descriptive and tentative. They do not establish that reducing smartphone use caused changes in sleep and should not be generalised beyond this group. A larger, more systematic survey is proposed for future work.</w:t>
      </w:r>
    </w:p>
    <w:p>
      <w:r>
        <w:t>Keywords: smartphone use, sleep quality, university students, fear of missing out, exploratory study</w:t>
      </w:r>
    </w:p>
    <w:p>
      <w:pPr>
        <w:pStyle w:val="Heading1"/>
      </w:pPr>
      <w:r>
        <w:t>1. Introduction</w:t>
      </w:r>
    </w:p>
    <w:p>
      <w:r>
        <w:t>Sleep is important for learning, mood, and general health, yet many university students report sleep difficulties. Smartphones are also a routine part of young adults’ daily lives, including the period before sleep. Previous studies have reported associations between heavier smartphone use and poorer sleep outcomes, as well as associations with depression and anxiety (Demirci et al., 2015).</w:t>
      </w:r>
    </w:p>
    <w:p>
      <w:r>
        <w:t>Smartphone use near bedtime may be related to sleep in several ways. Interactive content, social media, and messages may keep a person mentally engaged, while easy access to a phone may encourage continued use after going to bed. Research involving adults has also reported associations between bedtime mobile-phone use and poorer sleep outcomes (Exelmans &amp; Van den Bulck, 2016). However, an association does not establish which factor comes first: some people may use their phones late because they are already having difficulty sleeping.</w:t>
      </w:r>
    </w:p>
    <w:p>
      <w:r>
        <w:t>This paper presents a small exploratory account of how a group of university students described their sleep when comparing usual heavier phone use with a period of reduced use. It also records participants’ stated reasons for using their phones. The study is not designed to establish a causal relationship or to represent university students generally.</w:t>
      </w:r>
    </w:p>
    <w:p>
      <w:pPr>
        <w:pStyle w:val="Heading1"/>
      </w:pPr>
      <w:r>
        <w:t>2. Nature of the Study</w:t>
      </w:r>
    </w:p>
    <w:p>
      <w:r>
        <w:t>The study is exploratory and descriptive. It was initially intended to be a survey of approximately 40–50 students, but that survey was not carried out and no data were collected through it. The findings reported here come only from an informal comparison based on participants’ own accounts.</w:t>
      </w:r>
    </w:p>
    <w:tbl>
      <w:tblPr>
        <w:tblStyle w:val="TableGrid"/>
        <w:tblW w:type="auto" w:w="0"/>
        <w:jc w:val="center"/>
        <w:tblLook w:firstColumn="1" w:firstRow="1" w:lastColumn="0" w:lastRow="0" w:noHBand="0" w:noVBand="1" w:val="04A0"/>
      </w:tblPr>
      <w:tblGrid>
        <w:gridCol w:w="4824"/>
        <w:gridCol w:w="4824"/>
      </w:tblGrid>
      <w:tr>
        <w:tc>
          <w:tcPr>
            <w:tcW w:type="dxa" w:w="4824"/>
            <w:vAlign w:val="center"/>
            <w:shd w:fill="D9EAF7"/>
          </w:tcPr>
          <w:p>
            <w:pPr>
              <w:spacing w:after="0"/>
            </w:pPr>
            <w:r/>
            <w:r>
              <w:rPr>
                <w:rFonts w:ascii="Times New Roman" w:hAnsi="Times New Roman"/>
                <w:b/>
                <w:sz w:val="20"/>
              </w:rPr>
              <w:t>Feature</w:t>
            </w:r>
          </w:p>
        </w:tc>
        <w:tc>
          <w:tcPr>
            <w:tcW w:type="dxa" w:w="4824"/>
            <w:vAlign w:val="center"/>
            <w:shd w:fill="D9EAF7"/>
          </w:tcPr>
          <w:p>
            <w:pPr>
              <w:spacing w:after="0"/>
            </w:pPr>
            <w:r/>
            <w:r>
              <w:rPr>
                <w:rFonts w:ascii="Times New Roman" w:hAnsi="Times New Roman"/>
                <w:b/>
                <w:sz w:val="20"/>
              </w:rPr>
              <w:t>Description</w:t>
            </w:r>
          </w:p>
        </w:tc>
      </w:tr>
      <w:tr>
        <w:tc>
          <w:tcPr>
            <w:tcW w:type="dxa" w:w="4824"/>
            <w:vAlign w:val="center"/>
          </w:tcPr>
          <w:p>
            <w:pPr>
              <w:spacing w:after="0"/>
            </w:pPr>
            <w:r/>
            <w:r>
              <w:rPr>
                <w:rFonts w:ascii="Times New Roman" w:hAnsi="Times New Roman"/>
                <w:b w:val="0"/>
                <w:sz w:val="20"/>
              </w:rPr>
              <w:t>Approach</w:t>
            </w:r>
          </w:p>
        </w:tc>
        <w:tc>
          <w:tcPr>
            <w:tcW w:type="dxa" w:w="4824"/>
            <w:vAlign w:val="center"/>
          </w:tcPr>
          <w:p>
            <w:pPr>
              <w:spacing w:after="0"/>
            </w:pPr>
            <w:r/>
            <w:r>
              <w:rPr>
                <w:rFonts w:ascii="Times New Roman" w:hAnsi="Times New Roman"/>
                <w:b w:val="0"/>
                <w:sz w:val="20"/>
              </w:rPr>
              <w:t>Exploratory and descriptive</w:t>
            </w:r>
          </w:p>
        </w:tc>
      </w:tr>
      <w:tr>
        <w:tc>
          <w:tcPr>
            <w:tcW w:type="dxa" w:w="4824"/>
            <w:vAlign w:val="center"/>
          </w:tcPr>
          <w:p>
            <w:pPr>
              <w:spacing w:after="0"/>
            </w:pPr>
            <w:r/>
            <w:r>
              <w:rPr>
                <w:rFonts w:ascii="Times New Roman" w:hAnsi="Times New Roman"/>
                <w:b w:val="0"/>
                <w:sz w:val="20"/>
              </w:rPr>
              <w:t>Design</w:t>
            </w:r>
          </w:p>
        </w:tc>
        <w:tc>
          <w:tcPr>
            <w:tcW w:type="dxa" w:w="4824"/>
            <w:vAlign w:val="center"/>
          </w:tcPr>
          <w:p>
            <w:pPr>
              <w:spacing w:after="0"/>
            </w:pPr>
            <w:r/>
            <w:r>
              <w:rPr>
                <w:rFonts w:ascii="Times New Roman" w:hAnsi="Times New Roman"/>
                <w:b w:val="0"/>
                <w:sz w:val="20"/>
              </w:rPr>
              <w:t>Informal within-person comparison of usual heavier phone use and reduced phone use</w:t>
            </w:r>
          </w:p>
        </w:tc>
      </w:tr>
      <w:tr>
        <w:tc>
          <w:tcPr>
            <w:tcW w:type="dxa" w:w="4824"/>
            <w:vAlign w:val="center"/>
          </w:tcPr>
          <w:p>
            <w:pPr>
              <w:spacing w:after="0"/>
            </w:pPr>
            <w:r/>
            <w:r>
              <w:rPr>
                <w:rFonts w:ascii="Times New Roman" w:hAnsi="Times New Roman"/>
                <w:b w:val="0"/>
                <w:sz w:val="20"/>
              </w:rPr>
              <w:t>Participants</w:t>
            </w:r>
          </w:p>
        </w:tc>
        <w:tc>
          <w:tcPr>
            <w:tcW w:type="dxa" w:w="4824"/>
            <w:vAlign w:val="center"/>
          </w:tcPr>
          <w:p>
            <w:pPr>
              <w:spacing w:after="0"/>
            </w:pPr>
            <w:r/>
            <w:r>
              <w:rPr>
                <w:rFonts w:ascii="Times New Roman" w:hAnsi="Times New Roman"/>
                <w:b w:val="0"/>
                <w:sz w:val="20"/>
              </w:rPr>
              <w:t>11 people took part; one later withdrew permission for their responses to be used, leaving 10 usable sets of responses</w:t>
            </w:r>
          </w:p>
        </w:tc>
      </w:tr>
      <w:tr>
        <w:tc>
          <w:tcPr>
            <w:tcW w:type="dxa" w:w="4824"/>
            <w:vAlign w:val="center"/>
          </w:tcPr>
          <w:p>
            <w:pPr>
              <w:spacing w:after="0"/>
            </w:pPr>
            <w:r/>
            <w:r>
              <w:rPr>
                <w:rFonts w:ascii="Times New Roman" w:hAnsi="Times New Roman"/>
                <w:b w:val="0"/>
                <w:sz w:val="20"/>
              </w:rPr>
              <w:t>Data</w:t>
            </w:r>
          </w:p>
        </w:tc>
        <w:tc>
          <w:tcPr>
            <w:tcW w:type="dxa" w:w="4824"/>
            <w:vAlign w:val="center"/>
          </w:tcPr>
          <w:p>
            <w:pPr>
              <w:spacing w:after="0"/>
            </w:pPr>
            <w:r/>
            <w:r>
              <w:rPr>
                <w:rFonts w:ascii="Times New Roman" w:hAnsi="Times New Roman"/>
                <w:b w:val="0"/>
                <w:sz w:val="20"/>
              </w:rPr>
              <w:t>Self-reported sleep changes, comfort when reducing phone use, and reasons for phone use</w:t>
            </w:r>
          </w:p>
        </w:tc>
      </w:tr>
      <w:tr>
        <w:tc>
          <w:tcPr>
            <w:tcW w:type="dxa" w:w="4824"/>
            <w:vAlign w:val="center"/>
          </w:tcPr>
          <w:p>
            <w:pPr>
              <w:spacing w:after="0"/>
            </w:pPr>
            <w:r/>
            <w:r>
              <w:rPr>
                <w:rFonts w:ascii="Times New Roman" w:hAnsi="Times New Roman"/>
                <w:b w:val="0"/>
                <w:sz w:val="20"/>
              </w:rPr>
              <w:t>Planned survey</w:t>
            </w:r>
          </w:p>
        </w:tc>
        <w:tc>
          <w:tcPr>
            <w:tcW w:type="dxa" w:w="4824"/>
            <w:vAlign w:val="center"/>
          </w:tcPr>
          <w:p>
            <w:pPr>
              <w:spacing w:after="0"/>
            </w:pPr>
            <w:r/>
            <w:r>
              <w:rPr>
                <w:rFonts w:ascii="Times New Roman" w:hAnsi="Times New Roman"/>
                <w:b w:val="0"/>
                <w:sz w:val="20"/>
              </w:rPr>
              <w:t>Not conducted; no data were collected from it</w:t>
            </w:r>
          </w:p>
        </w:tc>
      </w:tr>
    </w:tbl>
    <w:p/>
    <w:p>
      <w:r>
        <w:t>There was no control group, random selection, formal sleep measure, or objective phone-use record. The findings therefore describe what these participants reported and cannot demonstrate cause and effect.</w:t>
      </w:r>
    </w:p>
    <w:p>
      <w:pPr>
        <w:pStyle w:val="Heading1"/>
      </w:pPr>
      <w:r>
        <w:t>3. Research Focus</w:t>
      </w:r>
    </w:p>
    <w:p>
      <w:r>
        <w:t>The central question is: How do students describe their sleep when they compare usual heavier smartphone use with a period of reduced use, particularly around bedtime?</w:t>
      </w:r>
    </w:p>
    <w:p>
      <w:pPr>
        <w:pStyle w:val="Heading2"/>
      </w:pPr>
      <w:r>
        <w:t>Objectives</w:t>
      </w:r>
    </w:p>
    <w:p>
      <w:pPr>
        <w:pStyle w:val="ListBullet"/>
      </w:pPr>
      <w:r>
        <w:t>To describe participants’ self-reported sleep during usual heavier phone use and reduced phone use.</w:t>
      </w:r>
    </w:p>
    <w:p>
      <w:pPr>
        <w:pStyle w:val="ListBullet"/>
      </w:pPr>
      <w:r>
        <w:t>To record whether participants described different experiences when reducing phone use.</w:t>
      </w:r>
    </w:p>
    <w:p>
      <w:pPr>
        <w:pStyle w:val="ListBullet"/>
      </w:pPr>
      <w:r>
        <w:t>To summarise the reasons participants gave for heavy smartphone use.</w:t>
      </w:r>
    </w:p>
    <w:p>
      <w:pPr>
        <w:pStyle w:val="Heading2"/>
      </w:pPr>
      <w:r>
        <w:t>Research questions</w:t>
      </w:r>
    </w:p>
    <w:p>
      <w:pPr>
        <w:pStyle w:val="ListBullet"/>
      </w:pPr>
      <w:r>
        <w:t>RQ1. Did participants report a change in sleep during a period of reduced phone use?</w:t>
      </w:r>
    </w:p>
    <w:p>
      <w:pPr>
        <w:pStyle w:val="ListBullet"/>
      </w:pPr>
      <w:r>
        <w:t>RQ2. Did participants describe different experiences or difficulties when reducing phone use?</w:t>
      </w:r>
    </w:p>
    <w:p>
      <w:pPr>
        <w:pStyle w:val="ListBullet"/>
      </w:pPr>
      <w:r>
        <w:t>RQ3. What reasons did participants give for using their phones heavily?</w:t>
      </w:r>
    </w:p>
    <w:p>
      <w:r>
        <w:t>No formal hypothesis was tested in this exploratory comparison. The number of usable responses and the informal method do not support inferential statistical testing.</w:t>
      </w:r>
    </w:p>
    <w:p>
      <w:pPr>
        <w:pStyle w:val="Heading1"/>
      </w:pPr>
      <w:r>
        <w:t>4. Scope and Delimitations</w:t>
      </w:r>
    </w:p>
    <w:tbl>
      <w:tblPr>
        <w:tblStyle w:val="TableGrid"/>
        <w:tblW w:type="auto" w:w="0"/>
        <w:jc w:val="center"/>
        <w:tblLook w:firstColumn="1" w:firstRow="1" w:lastColumn="0" w:lastRow="0" w:noHBand="0" w:noVBand="1" w:val="04A0"/>
      </w:tblPr>
      <w:tblGrid>
        <w:gridCol w:w="3216"/>
        <w:gridCol w:w="3216"/>
        <w:gridCol w:w="3216"/>
      </w:tblGrid>
      <w:tr>
        <w:tc>
          <w:tcPr>
            <w:tcW w:type="dxa" w:w="3216"/>
            <w:vAlign w:val="center"/>
            <w:shd w:fill="D9EAF7"/>
          </w:tcPr>
          <w:p>
            <w:pPr>
              <w:spacing w:after="0"/>
            </w:pPr>
            <w:r/>
            <w:r>
              <w:rPr>
                <w:rFonts w:ascii="Times New Roman" w:hAnsi="Times New Roman"/>
                <w:b/>
                <w:sz w:val="20"/>
              </w:rPr>
              <w:t>Dimension</w:t>
            </w:r>
          </w:p>
        </w:tc>
        <w:tc>
          <w:tcPr>
            <w:tcW w:type="dxa" w:w="3216"/>
            <w:vAlign w:val="center"/>
            <w:shd w:fill="D9EAF7"/>
          </w:tcPr>
          <w:p>
            <w:pPr>
              <w:spacing w:after="0"/>
            </w:pPr>
            <w:r/>
            <w:r>
              <w:rPr>
                <w:rFonts w:ascii="Times New Roman" w:hAnsi="Times New Roman"/>
                <w:b/>
                <w:sz w:val="20"/>
              </w:rPr>
              <w:t>Included</w:t>
            </w:r>
          </w:p>
        </w:tc>
        <w:tc>
          <w:tcPr>
            <w:tcW w:type="dxa" w:w="3216"/>
            <w:vAlign w:val="center"/>
            <w:shd w:fill="D9EAF7"/>
          </w:tcPr>
          <w:p>
            <w:pPr>
              <w:spacing w:after="0"/>
            </w:pPr>
            <w:r/>
            <w:r>
              <w:rPr>
                <w:rFonts w:ascii="Times New Roman" w:hAnsi="Times New Roman"/>
                <w:b/>
                <w:sz w:val="20"/>
              </w:rPr>
              <w:t>Not included</w:t>
            </w:r>
          </w:p>
        </w:tc>
      </w:tr>
      <w:tr>
        <w:tc>
          <w:tcPr>
            <w:tcW w:type="dxa" w:w="3216"/>
            <w:vAlign w:val="center"/>
          </w:tcPr>
          <w:p>
            <w:pPr>
              <w:spacing w:after="0"/>
            </w:pPr>
            <w:r/>
            <w:r>
              <w:rPr>
                <w:rFonts w:ascii="Times New Roman" w:hAnsi="Times New Roman"/>
                <w:b w:val="0"/>
                <w:sz w:val="20"/>
              </w:rPr>
              <w:t>Participants</w:t>
            </w:r>
          </w:p>
        </w:tc>
        <w:tc>
          <w:tcPr>
            <w:tcW w:type="dxa" w:w="3216"/>
            <w:vAlign w:val="center"/>
          </w:tcPr>
          <w:p>
            <w:pPr>
              <w:spacing w:after="0"/>
            </w:pPr>
            <w:r/>
            <w:r>
              <w:rPr>
                <w:rFonts w:ascii="Times New Roman" w:hAnsi="Times New Roman"/>
                <w:b w:val="0"/>
                <w:sz w:val="20"/>
              </w:rPr>
              <w:t>10 usable sets of responses from a small, non-random group</w:t>
            </w:r>
          </w:p>
        </w:tc>
        <w:tc>
          <w:tcPr>
            <w:tcW w:type="dxa" w:w="3216"/>
            <w:vAlign w:val="center"/>
          </w:tcPr>
          <w:p>
            <w:pPr>
              <w:spacing w:after="0"/>
            </w:pPr>
            <w:r/>
            <w:r>
              <w:rPr>
                <w:rFonts w:ascii="Times New Roman" w:hAnsi="Times New Roman"/>
                <w:b w:val="0"/>
                <w:sz w:val="20"/>
              </w:rPr>
              <w:t>A large or representative sample</w:t>
            </w:r>
          </w:p>
        </w:tc>
      </w:tr>
      <w:tr>
        <w:tc>
          <w:tcPr>
            <w:tcW w:type="dxa" w:w="3216"/>
            <w:vAlign w:val="center"/>
          </w:tcPr>
          <w:p>
            <w:pPr>
              <w:spacing w:after="0"/>
            </w:pPr>
            <w:r/>
            <w:r>
              <w:rPr>
                <w:rFonts w:ascii="Times New Roman" w:hAnsi="Times New Roman"/>
                <w:b w:val="0"/>
                <w:sz w:val="20"/>
              </w:rPr>
              <w:t>Variables</w:t>
            </w:r>
          </w:p>
        </w:tc>
        <w:tc>
          <w:tcPr>
            <w:tcW w:type="dxa" w:w="3216"/>
            <w:vAlign w:val="center"/>
          </w:tcPr>
          <w:p>
            <w:pPr>
              <w:spacing w:after="0"/>
            </w:pPr>
            <w:r/>
            <w:r>
              <w:rPr>
                <w:rFonts w:ascii="Times New Roman" w:hAnsi="Times New Roman"/>
                <w:b w:val="0"/>
                <w:sz w:val="20"/>
              </w:rPr>
              <w:t>Self-reported sleep, comfort when reducing phone use, and stated reasons for phone use</w:t>
            </w:r>
          </w:p>
        </w:tc>
        <w:tc>
          <w:tcPr>
            <w:tcW w:type="dxa" w:w="3216"/>
            <w:vAlign w:val="center"/>
          </w:tcPr>
          <w:p>
            <w:pPr>
              <w:spacing w:after="0"/>
            </w:pPr>
            <w:r/>
            <w:r>
              <w:rPr>
                <w:rFonts w:ascii="Times New Roman" w:hAnsi="Times New Roman"/>
                <w:b w:val="0"/>
                <w:sz w:val="20"/>
              </w:rPr>
              <w:t>Validated sleep scores, clinical measures, grades, or objective sleep and phone-use data</w:t>
            </w:r>
          </w:p>
        </w:tc>
      </w:tr>
      <w:tr>
        <w:tc>
          <w:tcPr>
            <w:tcW w:type="dxa" w:w="3216"/>
            <w:vAlign w:val="center"/>
          </w:tcPr>
          <w:p>
            <w:pPr>
              <w:spacing w:after="0"/>
            </w:pPr>
            <w:r/>
            <w:r>
              <w:rPr>
                <w:rFonts w:ascii="Times New Roman" w:hAnsi="Times New Roman"/>
                <w:b w:val="0"/>
                <w:sz w:val="20"/>
              </w:rPr>
              <w:t>Method</w:t>
            </w:r>
          </w:p>
        </w:tc>
        <w:tc>
          <w:tcPr>
            <w:tcW w:type="dxa" w:w="3216"/>
            <w:vAlign w:val="center"/>
          </w:tcPr>
          <w:p>
            <w:pPr>
              <w:spacing w:after="0"/>
            </w:pPr>
            <w:r/>
            <w:r>
              <w:rPr>
                <w:rFonts w:ascii="Times New Roman" w:hAnsi="Times New Roman"/>
                <w:b w:val="0"/>
                <w:sz w:val="20"/>
              </w:rPr>
              <w:t>Participants’ own descriptions of their experiences</w:t>
            </w:r>
          </w:p>
        </w:tc>
        <w:tc>
          <w:tcPr>
            <w:tcW w:type="dxa" w:w="3216"/>
            <w:vAlign w:val="center"/>
          </w:tcPr>
          <w:p>
            <w:pPr>
              <w:spacing w:after="0"/>
            </w:pPr>
            <w:r/>
            <w:r>
              <w:rPr>
                <w:rFonts w:ascii="Times New Roman" w:hAnsi="Times New Roman"/>
                <w:b w:val="0"/>
                <w:sz w:val="20"/>
              </w:rPr>
              <w:t>Sleep trackers, laboratory measures, or phone-use logs</w:t>
            </w:r>
          </w:p>
        </w:tc>
      </w:tr>
      <w:tr>
        <w:tc>
          <w:tcPr>
            <w:tcW w:type="dxa" w:w="3216"/>
            <w:vAlign w:val="center"/>
          </w:tcPr>
          <w:p>
            <w:pPr>
              <w:spacing w:after="0"/>
            </w:pPr>
            <w:r/>
            <w:r>
              <w:rPr>
                <w:rFonts w:ascii="Times New Roman" w:hAnsi="Times New Roman"/>
                <w:b w:val="0"/>
                <w:sz w:val="20"/>
              </w:rPr>
              <w:t>Analysis</w:t>
            </w:r>
          </w:p>
        </w:tc>
        <w:tc>
          <w:tcPr>
            <w:tcW w:type="dxa" w:w="3216"/>
            <w:vAlign w:val="center"/>
          </w:tcPr>
          <w:p>
            <w:pPr>
              <w:spacing w:after="0"/>
            </w:pPr>
            <w:r/>
            <w:r>
              <w:rPr>
                <w:rFonts w:ascii="Times New Roman" w:hAnsi="Times New Roman"/>
                <w:b w:val="0"/>
                <w:sz w:val="20"/>
              </w:rPr>
              <w:t>Simple counts and descriptive summaries where counts were recorded</w:t>
            </w:r>
          </w:p>
        </w:tc>
        <w:tc>
          <w:tcPr>
            <w:tcW w:type="dxa" w:w="3216"/>
            <w:vAlign w:val="center"/>
          </w:tcPr>
          <w:p>
            <w:pPr>
              <w:spacing w:after="0"/>
            </w:pPr>
            <w:r/>
            <w:r>
              <w:rPr>
                <w:rFonts w:ascii="Times New Roman" w:hAnsi="Times New Roman"/>
                <w:b w:val="0"/>
                <w:sz w:val="20"/>
              </w:rPr>
              <w:t>Statistical tests or causal estimates</w:t>
            </w:r>
          </w:p>
        </w:tc>
      </w:tr>
    </w:tbl>
    <w:p/>
    <w:p>
      <w:r>
        <w:t>The results apply only to this small group and should not be assumed to represent other university students.</w:t>
      </w:r>
    </w:p>
    <w:p>
      <w:pPr>
        <w:pStyle w:val="Heading1"/>
      </w:pPr>
      <w:r>
        <w:t>5. Review of Literature</w:t>
      </w:r>
    </w:p>
    <w:p>
      <w:pPr>
        <w:pStyle w:val="Heading2"/>
      </w:pPr>
      <w:r>
        <w:t>5.1 Smartphone use and sleep outcomes</w:t>
      </w:r>
    </w:p>
    <w:p>
      <w:r>
        <w:t>Demirci et al. (2015) studied 319 university students in Turkey. Their study reported differences in depression, anxiety, and daytime dysfunction across smartphone-use groups, and associations between smartphone-addiction scores and some sleep-quality measures. Exelmans and Van den Bulck (2016), in a survey of 844 adults in Flanders, reported associations between bedtime mobile-phone use and outcomes including later rise times, insomnia symptoms, and fatigue. AlShareef (2022) also examined bedtime technology use and sleep-related outcomes among adults in Saudi Arabia.</w:t>
      </w:r>
    </w:p>
    <w:p>
      <w:pPr>
        <w:pStyle w:val="Heading2"/>
      </w:pPr>
      <w:r>
        <w:t>5.2 Direction of the relationship</w:t>
      </w:r>
    </w:p>
    <w:p>
      <w:r>
        <w:t>The direction of the relationship between smartphone use and sleep remains difficult to determine from observational research alone. Smartphone use could contribute to later bedtimes or mental stimulation, but people who are already unable to sleep may also turn to their phones. Demirci et al. (2015) considered the roles of depression and anxiety in the relationship, while AlShareef (2022) discussed the possibility that bedtime technology use may sometimes follow sleep difficulties rather than precede them.</w:t>
      </w:r>
    </w:p>
    <w:p>
      <w:pPr>
        <w:pStyle w:val="Heading2"/>
      </w:pPr>
      <w:r>
        <w:t>5.3 Individual differences and motivations</w:t>
      </w:r>
    </w:p>
    <w:p>
      <w:r>
        <w:t>The purpose of phone use may also matter. For some people, phone use may be socially motivated; for others, it may provide distraction or help them manage uncomfortable thoughts. The accounts in this small study—including FOMO and the use of a phone to distract from overthinking—illustrate possible motivations, but they do not establish how common these motivations are or how they affect sleep.</w:t>
      </w:r>
    </w:p>
    <w:p>
      <w:pPr>
        <w:pStyle w:val="Heading2"/>
      </w:pPr>
      <w:r>
        <w:t>5.4 Relevance to the present study</w:t>
      </w:r>
    </w:p>
    <w:p>
      <w:r>
        <w:t>The studies reviewed above use larger samples and structured measures to examine associations between technology use and sleep. The present paper addresses a narrower descriptive question: how did a small group of students describe their sleep and their reasons for phone use when they compared usual use with reduced use? It is a preliminary account, not a test of the relationships identified in the literature.</w:t>
      </w:r>
    </w:p>
    <w:p>
      <w:pPr>
        <w:pStyle w:val="Heading1"/>
      </w:pPr>
      <w:r>
        <w:t>6. Methodology</w:t>
      </w:r>
    </w:p>
    <w:p>
      <w:pPr>
        <w:pStyle w:val="Heading2"/>
      </w:pPr>
      <w:r>
        <w:t>6.1 Procedure</w:t>
      </w:r>
    </w:p>
    <w:p>
      <w:r>
        <w:t>The procedure was informal and was not documented in enough detail to reproduce it exactly. Eleven people took part, including the author and up to ten other students. Participants were labelled A to K. Each compared their usual heavier phone use with a period in which they reduced screen time and phone use, including using the phone less in bed. Participants then described their perceived sleep and comfort during the comparison and gave reasons for their phone use.</w:t>
      </w:r>
    </w:p>
    <w:p>
      <w:r>
        <w:t>The duration of each period, the exact method used to reduce phone use, whether all participants followed the same procedure, and the recruitment method were not systematically recorded. No sleep diary, validated questionnaire, tracker, or phone-use log was used. Sleep quality therefore refers to participants’ own perceptions. The author was also a participant, and the author’s response was not analysed separately.</w:t>
      </w:r>
    </w:p>
    <w:p>
      <w:pPr>
        <w:pStyle w:val="Heading2"/>
      </w:pPr>
      <w:r>
        <w:t>6.2 Usable responses and analysis</w:t>
      </w:r>
    </w:p>
    <w:p>
      <w:r>
        <w:t>One participant later withdrew permission for their responses to be used. Those responses were excluded, leaving 10 usable sets of responses. Counts are reported only for outcomes for which a count was recorded. The reason FOMO was mentioned most often, but the number of participants who mentioned it was not recorded; its prevalence therefore cannot be calculated. No statistical tests were performed.</w:t>
      </w:r>
    </w:p>
    <w:p>
      <w:pPr>
        <w:pStyle w:val="Heading2"/>
      </w:pPr>
      <w:r>
        <w:t>6.3 Ethical considerations</w:t>
      </w:r>
    </w:p>
    <w:p>
      <w:r>
        <w:t>Participants were asked verbally whether they were willing to take part and were told that their answers would be used in a research paper. One participant later withdrew permission for their answers to be included, and those answers were excluded. The paper identifies participants only by letter labels and does not report names or enrolment numbers. These steps do not by themselves establish that formal institutional research-ethics requirements were met. Before submission, the author should check the university’s requirements and accurately state any approval or exemption that was obtained; no approval should be claimed unless it was actually granted.</w:t>
      </w:r>
    </w:p>
    <w:p>
      <w:pPr>
        <w:pStyle w:val="Heading1"/>
      </w:pPr>
      <w:r>
        <w:t>7. Results</w:t>
      </w:r>
    </w:p>
    <w:p>
      <w:r>
        <w:t>Eleven people took part, and the responses of 10 are included after one participant withdrew permission for their answers to be used. Each participant represents 10 percentage points of this small usable sample. The results below are descriptive; the recorded data do not support statistical inference.</w:t>
      </w:r>
    </w:p>
    <w:tbl>
      <w:tblPr>
        <w:tblStyle w:val="TableGrid"/>
        <w:tblW w:type="auto" w:w="0"/>
        <w:jc w:val="center"/>
        <w:tblLook w:firstColumn="1" w:firstRow="1" w:lastColumn="0" w:lastRow="0" w:noHBand="0" w:noVBand="1" w:val="04A0"/>
      </w:tblPr>
      <w:tblGrid>
        <w:gridCol w:w="3216"/>
        <w:gridCol w:w="3216"/>
        <w:gridCol w:w="3216"/>
      </w:tblGrid>
      <w:tr>
        <w:tc>
          <w:tcPr>
            <w:tcW w:type="dxa" w:w="3216"/>
            <w:vAlign w:val="center"/>
            <w:shd w:fill="D9EAF7"/>
          </w:tcPr>
          <w:p>
            <w:pPr>
              <w:spacing w:after="0"/>
            </w:pPr>
            <w:r/>
            <w:r>
              <w:rPr>
                <w:rFonts w:ascii="Times New Roman" w:hAnsi="Times New Roman"/>
                <w:b/>
                <w:sz w:val="20"/>
              </w:rPr>
              <w:t>Outcome</w:t>
            </w:r>
          </w:p>
        </w:tc>
        <w:tc>
          <w:tcPr>
            <w:tcW w:type="dxa" w:w="3216"/>
            <w:vAlign w:val="center"/>
            <w:shd w:fill="D9EAF7"/>
          </w:tcPr>
          <w:p>
            <w:pPr>
              <w:spacing w:after="0"/>
            </w:pPr>
            <w:r/>
            <w:r>
              <w:rPr>
                <w:rFonts w:ascii="Times New Roman" w:hAnsi="Times New Roman"/>
                <w:b/>
                <w:sz w:val="20"/>
              </w:rPr>
              <w:t>Recorded finding</w:t>
            </w:r>
          </w:p>
        </w:tc>
        <w:tc>
          <w:tcPr>
            <w:tcW w:type="dxa" w:w="3216"/>
            <w:vAlign w:val="center"/>
            <w:shd w:fill="D9EAF7"/>
          </w:tcPr>
          <w:p>
            <w:pPr>
              <w:spacing w:after="0"/>
            </w:pPr>
            <w:r/>
            <w:r>
              <w:rPr>
                <w:rFonts w:ascii="Times New Roman" w:hAnsi="Times New Roman"/>
                <w:b/>
                <w:sz w:val="20"/>
              </w:rPr>
              <w:t>Percentage of 10</w:t>
            </w:r>
          </w:p>
        </w:tc>
      </w:tr>
      <w:tr>
        <w:tc>
          <w:tcPr>
            <w:tcW w:type="dxa" w:w="3216"/>
            <w:vAlign w:val="center"/>
          </w:tcPr>
          <w:p>
            <w:pPr>
              <w:spacing w:after="0"/>
            </w:pPr>
            <w:r/>
            <w:r>
              <w:rPr>
                <w:rFonts w:ascii="Times New Roman" w:hAnsi="Times New Roman"/>
                <w:b w:val="0"/>
                <w:sz w:val="20"/>
              </w:rPr>
              <w:t>Self-reported sleep during reduced phone use</w:t>
            </w:r>
          </w:p>
        </w:tc>
        <w:tc>
          <w:tcPr>
            <w:tcW w:type="dxa" w:w="3216"/>
            <w:vAlign w:val="center"/>
          </w:tcPr>
          <w:p>
            <w:pPr>
              <w:spacing w:after="0"/>
            </w:pPr>
            <w:r/>
            <w:r>
              <w:rPr>
                <w:rFonts w:ascii="Times New Roman" w:hAnsi="Times New Roman"/>
                <w:b w:val="0"/>
                <w:sz w:val="20"/>
              </w:rPr>
              <w:t>8 participants reported better sleep</w:t>
            </w:r>
          </w:p>
        </w:tc>
        <w:tc>
          <w:tcPr>
            <w:tcW w:type="dxa" w:w="3216"/>
            <w:vAlign w:val="center"/>
          </w:tcPr>
          <w:p>
            <w:pPr>
              <w:spacing w:after="0"/>
            </w:pPr>
            <w:r/>
            <w:r>
              <w:rPr>
                <w:rFonts w:ascii="Times New Roman" w:hAnsi="Times New Roman"/>
                <w:b w:val="0"/>
                <w:sz w:val="20"/>
              </w:rPr>
              <w:t>80%</w:t>
            </w:r>
          </w:p>
        </w:tc>
      </w:tr>
      <w:tr>
        <w:tc>
          <w:tcPr>
            <w:tcW w:type="dxa" w:w="3216"/>
            <w:vAlign w:val="center"/>
          </w:tcPr>
          <w:p>
            <w:pPr>
              <w:spacing w:after="0"/>
            </w:pPr>
            <w:r/>
            <w:r>
              <w:rPr>
                <w:rFonts w:ascii="Times New Roman" w:hAnsi="Times New Roman"/>
                <w:b w:val="0"/>
                <w:sz w:val="20"/>
              </w:rPr>
              <w:t>Phone in bed as a distraction that helped with falling asleep</w:t>
            </w:r>
          </w:p>
        </w:tc>
        <w:tc>
          <w:tcPr>
            <w:tcW w:type="dxa" w:w="3216"/>
            <w:vAlign w:val="center"/>
          </w:tcPr>
          <w:p>
            <w:pPr>
              <w:spacing w:after="0"/>
            </w:pPr>
            <w:r/>
            <w:r>
              <w:rPr>
                <w:rFonts w:ascii="Times New Roman" w:hAnsi="Times New Roman"/>
                <w:b w:val="0"/>
                <w:sz w:val="20"/>
              </w:rPr>
              <w:t>2 participants (B and D) reported that the phone distracted them from personal thoughts and overthinking</w:t>
            </w:r>
          </w:p>
        </w:tc>
        <w:tc>
          <w:tcPr>
            <w:tcW w:type="dxa" w:w="3216"/>
            <w:vAlign w:val="center"/>
          </w:tcPr>
          <w:p>
            <w:pPr>
              <w:spacing w:after="0"/>
            </w:pPr>
            <w:r/>
            <w:r>
              <w:rPr>
                <w:rFonts w:ascii="Times New Roman" w:hAnsi="Times New Roman"/>
                <w:b w:val="0"/>
                <w:sz w:val="20"/>
              </w:rPr>
              <w:t>20%</w:t>
            </w:r>
          </w:p>
        </w:tc>
      </w:tr>
      <w:tr>
        <w:tc>
          <w:tcPr>
            <w:tcW w:type="dxa" w:w="3216"/>
            <w:vAlign w:val="center"/>
          </w:tcPr>
          <w:p>
            <w:pPr>
              <w:spacing w:after="0"/>
            </w:pPr>
            <w:r/>
            <w:r>
              <w:rPr>
                <w:rFonts w:ascii="Times New Roman" w:hAnsi="Times New Roman"/>
                <w:b w:val="0"/>
                <w:sz w:val="20"/>
              </w:rPr>
              <w:t>Comfort when reducing phone use</w:t>
            </w:r>
          </w:p>
        </w:tc>
        <w:tc>
          <w:tcPr>
            <w:tcW w:type="dxa" w:w="3216"/>
            <w:vAlign w:val="center"/>
          </w:tcPr>
          <w:p>
            <w:pPr>
              <w:spacing w:after="0"/>
            </w:pPr>
            <w:r/>
            <w:r>
              <w:rPr>
                <w:rFonts w:ascii="Times New Roman" w:hAnsi="Times New Roman"/>
                <w:b w:val="0"/>
                <w:sz w:val="20"/>
              </w:rPr>
              <w:t>2 participants (B and D) reported discomfort; 8 reported no distress</w:t>
            </w:r>
          </w:p>
        </w:tc>
        <w:tc>
          <w:tcPr>
            <w:tcW w:type="dxa" w:w="3216"/>
            <w:vAlign w:val="center"/>
          </w:tcPr>
          <w:p>
            <w:pPr>
              <w:spacing w:after="0"/>
            </w:pPr>
            <w:r/>
            <w:r>
              <w:rPr>
                <w:rFonts w:ascii="Times New Roman" w:hAnsi="Times New Roman"/>
                <w:b w:val="0"/>
                <w:sz w:val="20"/>
              </w:rPr>
              <w:t>20% uncomfortable; 80% no distress</w:t>
            </w:r>
          </w:p>
        </w:tc>
      </w:tr>
      <w:tr>
        <w:tc>
          <w:tcPr>
            <w:tcW w:type="dxa" w:w="3216"/>
            <w:vAlign w:val="center"/>
          </w:tcPr>
          <w:p>
            <w:pPr>
              <w:spacing w:after="0"/>
            </w:pPr>
            <w:r/>
            <w:r>
              <w:rPr>
                <w:rFonts w:ascii="Times New Roman" w:hAnsi="Times New Roman"/>
                <w:b w:val="0"/>
                <w:sz w:val="20"/>
              </w:rPr>
              <w:t>Reason for heavy phone use</w:t>
            </w:r>
          </w:p>
        </w:tc>
        <w:tc>
          <w:tcPr>
            <w:tcW w:type="dxa" w:w="3216"/>
            <w:vAlign w:val="center"/>
          </w:tcPr>
          <w:p>
            <w:pPr>
              <w:spacing w:after="0"/>
            </w:pPr>
            <w:r/>
            <w:r>
              <w:rPr>
                <w:rFonts w:ascii="Times New Roman" w:hAnsi="Times New Roman"/>
                <w:b w:val="0"/>
                <w:sz w:val="20"/>
              </w:rPr>
              <w:t>FOMO was the reason mentioned most often; the number of people who mentioned it was not recorded</w:t>
            </w:r>
          </w:p>
        </w:tc>
        <w:tc>
          <w:tcPr>
            <w:tcW w:type="dxa" w:w="3216"/>
            <w:vAlign w:val="center"/>
          </w:tcPr>
          <w:p>
            <w:pPr>
              <w:spacing w:after="0"/>
            </w:pPr>
            <w:r/>
            <w:r>
              <w:rPr>
                <w:rFonts w:ascii="Times New Roman" w:hAnsi="Times New Roman"/>
                <w:b w:val="0"/>
                <w:sz w:val="20"/>
              </w:rPr>
              <w:t>Not calculable</w:t>
            </w:r>
          </w:p>
        </w:tc>
      </w:tr>
    </w:tbl>
    <w:p/>
    <w:p>
      <w:r>
        <w:t>The sleep and comfort findings are reported as separate outcomes. Because the procedure and records were informal, the paper does not make additional claims about how every individual outcome overlapped with the others. Counts for unchanged or worse sleep were not recorded separately.</w:t>
      </w:r>
    </w:p>
    <w:p>
      <w:r>
        <w:t>Overall, most participants reported better sleep during the period of reduced phone use. These reports do not show that reducing phone use caused the change; other factors, including routine, stress, workload, and expectations, may also have influenced participants’ experiences.</w:t>
      </w:r>
    </w:p>
    <w:p>
      <w:pPr>
        <w:pStyle w:val="Heading1"/>
      </w:pPr>
      <w:r>
        <w:t>8. Discussion</w:t>
      </w:r>
    </w:p>
    <w:p>
      <w:pPr>
        <w:pStyle w:val="Heading2"/>
      </w:pPr>
      <w:r>
        <w:t>8.1 Reported sleep changes</w:t>
      </w:r>
    </w:p>
    <w:p>
      <w:r>
        <w:t>Eight of the 10 participants reported better sleep during reduced phone use. This pattern is consistent with the general direction of some previous research linking heavier or bedtime phone use with poorer sleep outcomes (Demirci et al., 2015; Exelmans &amp; Van den Bulck, 2016). However, this small informal comparison cannot test whether the relationship is causal. The study did not use a standard sleep measure, a control group, or a consistently recorded procedure.</w:t>
      </w:r>
    </w:p>
    <w:p>
      <w:pPr>
        <w:pStyle w:val="Heading2"/>
      </w:pPr>
      <w:r>
        <w:t>8.2 Phone use as distraction</w:t>
      </w:r>
    </w:p>
    <w:p>
      <w:r>
        <w:t>Two participants, B and D, described a different experience: having a phone in bed helped distract them from personal thoughts and overthinking that otherwise made falling asleep difficult. These accounts suggest that phone use may serve different functions for different people. They do not demonstrate that phone use is an effective treatment for overthinking or sleep difficulty, and no broader conclusion about these participants’ wellbeing can be drawn from the accounts.</w:t>
      </w:r>
    </w:p>
    <w:p>
      <w:pPr>
        <w:pStyle w:val="Heading2"/>
      </w:pPr>
      <w:r>
        <w:t>8.3 Fear of missing out</w:t>
      </w:r>
    </w:p>
    <w:p>
      <w:r>
        <w:t>FOMO was the reason mentioned most often for heavy phone use. This points to social expectations and concern about missing online content as topics worth examining in future research. Because the number of participants who mentioned FOMO was not recorded, its frequency cannot be quantified from this study.</w:t>
      </w:r>
    </w:p>
    <w:p>
      <w:r>
        <w:t>Questions for a future study could include:</w:t>
      </w:r>
    </w:p>
    <w:p>
      <w:pPr>
        <w:pStyle w:val="ListBullet"/>
      </w:pPr>
      <w:r>
        <w:t>Do students feel pressure to remain available to friends or online groups?</w:t>
      </w:r>
    </w:p>
    <w:p>
      <w:pPr>
        <w:pStyle w:val="ListBullet"/>
      </w:pPr>
      <w:r>
        <w:t>Does concern about missing messages influence phone use at bedtime?</w:t>
      </w:r>
    </w:p>
    <w:p>
      <w:pPr>
        <w:pStyle w:val="ListBullet"/>
      </w:pPr>
      <w:r>
        <w:t>Do students use phones for reassurance, distraction, or both?</w:t>
      </w:r>
    </w:p>
    <w:p>
      <w:pPr>
        <w:pStyle w:val="ListBullet"/>
      </w:pPr>
      <w:r>
        <w:t>Would a planned time to check messages before bed make reducing phone use easier?</w:t>
      </w:r>
    </w:p>
    <w:p>
      <w:r>
        <w:t>These are questions for future investigation; the present study does not show that any particular strategy is effective.</w:t>
      </w:r>
    </w:p>
    <w:p>
      <w:pPr>
        <w:pStyle w:val="Heading1"/>
      </w:pPr>
      <w:r>
        <w:t>9. Limitations</w:t>
      </w:r>
    </w:p>
    <w:p>
      <w:pPr>
        <w:pStyle w:val="ListBullet"/>
      </w:pPr>
      <w:r>
        <w:t>Small sample: only 10 sets of responses were retained. One person represents 10% of the usable sample, so the percentages are highly sensitive to individual responses.</w:t>
      </w:r>
    </w:p>
    <w:p>
      <w:pPr>
        <w:pStyle w:val="ListBullet"/>
      </w:pPr>
      <w:r>
        <w:t>Informal procedure: the duration and exact nature of the reduced-use period were not systematically recorded, limiting reproducibility.</w:t>
      </w:r>
    </w:p>
    <w:p>
      <w:pPr>
        <w:pStyle w:val="ListBullet"/>
      </w:pPr>
      <w:r>
        <w:t>Self-reported outcomes: sleep was not assessed with a validated measure, diary, tracker, or other objective method.</w:t>
      </w:r>
    </w:p>
    <w:p>
      <w:pPr>
        <w:pStyle w:val="ListBullet"/>
      </w:pPr>
      <w:r>
        <w:t>No control group: changes in routine, stress, workload, expectations, or other factors could have influenced participants’ reports. The study cannot attribute reported changes to reduced phone use alone.</w:t>
      </w:r>
    </w:p>
    <w:p>
      <w:pPr>
        <w:pStyle w:val="ListBullet"/>
      </w:pPr>
      <w:r>
        <w:t>Author participation: the author was also a participant, and the author’s response was not analysed separately. This may have affected data collection or interpretation.</w:t>
      </w:r>
    </w:p>
    <w:p>
      <w:pPr>
        <w:pStyle w:val="ListBullet"/>
      </w:pPr>
      <w:r>
        <w:t>Incomplete records: recruitment details and the number of participants mentioning FOMO were not recorded. Some outcome cross-tabulations therefore cannot be independently checked from the information retained.</w:t>
      </w:r>
    </w:p>
    <w:p>
      <w:pPr>
        <w:pStyle w:val="ListBullet"/>
      </w:pPr>
      <w:r>
        <w:t>Limited generalisability: participants were not randomly selected, and the group was too small to represent university students generally.</w:t>
      </w:r>
    </w:p>
    <w:p>
      <w:pPr>
        <w:pStyle w:val="ListBullet"/>
      </w:pPr>
      <w:r>
        <w:t>Ethics documentation: verbal agreement and use of letter labels do not establish whether the institution’s formal requirements were met. These requirements should be checked before submission.</w:t>
      </w:r>
    </w:p>
    <w:p>
      <w:pPr>
        <w:pStyle w:val="Heading1"/>
      </w:pPr>
      <w:r>
        <w:t>10. Proposed Future Study</w:t>
      </w:r>
    </w:p>
    <w:p>
      <w:r>
        <w:t>The following is a proposal for future work, not a report of completed research. The originally planned survey was not conducted, and no data were collected through it.</w:t>
      </w:r>
    </w:p>
    <w:p>
      <w:pPr>
        <w:pStyle w:val="Heading2"/>
      </w:pPr>
      <w:r>
        <w:t>10.1 Design and participants</w:t>
      </w:r>
    </w:p>
    <w:p>
      <w:r>
        <w:t>A cross-sectional survey could recruit approximately 40–50 undergraduate students aged 18 or older using convenience sampling. This would be a small preliminary study; it would not provide a representative estimate for all university students, and its ability to detect associations would depend on the actual sample size, data quality, and effect sizes.</w:t>
      </w:r>
    </w:p>
    <w:p>
      <w:pPr>
        <w:pStyle w:val="Heading2"/>
      </w:pPr>
      <w:r>
        <w:t>10.2 Measures</w:t>
      </w:r>
    </w:p>
    <w:p>
      <w:pPr>
        <w:pStyle w:val="ListBullet"/>
      </w:pPr>
      <w:r>
        <w:t>Pittsburgh Sleep Quality Index (PSQI): a standard self-report measure of sleep quality over the previous month (Buysse et al., 1989). The author should confirm the current use permissions and scoring instructions before administering it.</w:t>
      </w:r>
    </w:p>
    <w:p>
      <w:pPr>
        <w:pStyle w:val="ListBullet"/>
      </w:pPr>
      <w:r>
        <w:t>Smartphone Addiction Scale–Short Version (SAS-SV): a brief scale developed for adolescents (Kwon et al., 2013). If used with university students, its suitability for the sample should be considered, and scores should not be used to label individuals clinically.</w:t>
      </w:r>
    </w:p>
    <w:p>
      <w:pPr>
        <w:pStyle w:val="ListBullet"/>
      </w:pPr>
      <w:r>
        <w:t>Additional questions: estimated daily phone use, phone use in bed after lights out, and reasons for bedtime use, including FOMO and use for distraction.</w:t>
      </w:r>
    </w:p>
    <w:p>
      <w:pPr>
        <w:pStyle w:val="Heading2"/>
      </w:pPr>
      <w:r>
        <w:t>10.3 Proposed questions and analysis</w:t>
      </w:r>
    </w:p>
    <w:p>
      <w:r>
        <w:t>The future survey could examine whether smartphone-use scores are associated with sleep-quality scores and whether longer reported phone use in bed is associated with longer sleep latency. It could also describe the reasons students give for bedtime use. These should be treated as proposed research questions rather than established findings. Descriptive statistics and suitable correlation analyses could be used, with the specific tests chosen after checking the distributions and assumptions. Any sample-size justification should be completed with an appropriate power analysis before data collection.</w:t>
      </w:r>
    </w:p>
    <w:p>
      <w:pPr>
        <w:pStyle w:val="Heading2"/>
      </w:pPr>
      <w:r>
        <w:t>10.4 Improvements to the procedure</w:t>
      </w:r>
    </w:p>
    <w:p>
      <w:pPr>
        <w:pStyle w:val="ListBullet"/>
      </w:pPr>
      <w:r>
        <w:t>Record recruitment, consent, the duration of each period, and the exact instructions given to participants.</w:t>
      </w:r>
    </w:p>
    <w:p>
      <w:pPr>
        <w:pStyle w:val="ListBullet"/>
      </w:pPr>
      <w:r>
        <w:t>If comparing reduced use over time, define the reduction procedure in advance and record adherence.</w:t>
      </w:r>
    </w:p>
    <w:p>
      <w:pPr>
        <w:pStyle w:val="ListBullet"/>
      </w:pPr>
      <w:r>
        <w:t>Consider a sleep diary and, where appropriate, objective phone-use records.</w:t>
      </w:r>
    </w:p>
    <w:p>
      <w:pPr>
        <w:pStyle w:val="ListBullet"/>
      </w:pPr>
      <w:r>
        <w:t>Record each outcome separately and retain anonymised records sufficient to check reported counts.</w:t>
      </w:r>
    </w:p>
    <w:p>
      <w:pPr>
        <w:pStyle w:val="ListBullet"/>
      </w:pPr>
      <w:r>
        <w:t>Check institutional ethics requirements before recruitment, use an appropriate consent process, and document how withdrawal requests will be handled.</w:t>
      </w:r>
    </w:p>
    <w:p>
      <w:pPr>
        <w:pStyle w:val="Heading1"/>
      </w:pPr>
      <w:r>
        <w:t>11. Conclusion</w:t>
      </w:r>
    </w:p>
    <w:p>
      <w:r>
        <w:t>This exploratory study described self-reported sleep and phone-use experiences among a small group of university students. Eleven people took part, and the responses of 10 were retained after one participant withdrew permission for their answers to be used. Eight of the 10 participants reported better sleep during a period of reduced phone use. Two participants (B and D) said that having a phone in bed helped distract them from personal thoughts and overthinking; these accounts illustrate that the role of phone use may differ between individuals. FOMO was the reason mentioned most often for heavy phone use, but its prevalence could not be calculated because the number of participants mentioning it was not recorded. The informal procedure, small non-random sample, self-reported outcomes, and incomplete records mean that the findings are tentative and cannot establish cause and effect. A larger, systematically documented study using suitable measures and an appropriate ethics process would be needed to examine these questions more reliably.</w:t>
      </w:r>
    </w:p>
    <w:p>
      <w:pPr>
        <w:pStyle w:val="Heading1"/>
      </w:pPr>
      <w:r>
        <w:t>References</w:t>
      </w:r>
    </w:p>
    <w:p>
      <w:pPr>
        <w:spacing w:after="120"/>
        <w:ind w:left="360" w:hanging="360"/>
      </w:pPr>
      <w:r>
        <w:t>AlShareef, S. M. (2022). The impact of bedtime technology use on sleep quality and excessive daytime sleepiness in adults. Sleep Science, 15(Spec 2), 318–327. https://doi.org/10.5935/1984-0063.20200128</w:t>
      </w:r>
    </w:p>
    <w:p>
      <w:pPr>
        <w:spacing w:after="120"/>
        <w:ind w:left="360" w:hanging="360"/>
      </w:pPr>
      <w:r>
        <w:t>Buysse, D. J., Reynolds, C. F., III, Monk, T. H., Berman, S. R., &amp; Kupfer, D. J. (1989). The Pittsburgh Sleep Quality Index: A new instrument for psychiatric practice and research. Psychiatry Research, 28(2), 193–213. https://doi.org/10.1016/0165-1781(89)90047-4</w:t>
      </w:r>
    </w:p>
    <w:p>
      <w:pPr>
        <w:spacing w:after="120"/>
        <w:ind w:left="360" w:hanging="360"/>
      </w:pPr>
      <w:r>
        <w:t>Demirci, K., Akgönül, M., &amp; Akpinar, A. (2015). Relationship of smartphone use severity with sleep quality, depression, and anxiety in university students. Journal of Behavioral Addictions, 4(2), 85–92. https://doi.org/10.1556/2006.4.2015.010</w:t>
      </w:r>
    </w:p>
    <w:p>
      <w:pPr>
        <w:spacing w:after="120"/>
        <w:ind w:left="360" w:hanging="360"/>
      </w:pPr>
      <w:r>
        <w:t>Exelmans, L., &amp; Van den Bulck, J. (2016). Bedtime mobile phone use and sleep in adults. Social Science &amp; Medicine, 148, 93–101. https://pubmed.ncbi.nlm.nih.gov/26688552/</w:t>
      </w:r>
    </w:p>
    <w:p>
      <w:pPr>
        <w:spacing w:after="120"/>
        <w:ind w:left="360" w:hanging="360"/>
      </w:pPr>
      <w:r>
        <w:t>Kwon, M., Kim, D.-J., Cho, H., &amp; Yang, S. (2013). The Smartphone Addiction Scale: Development and validation of a short version for adolescents. PLoS ONE, 8(12), e83558. https://doi.org/10.1371/journal.pone.0083558</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