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ACB07">
      <w:pPr>
        <w:spacing w:after="200"/>
        <w:jc w:val="center"/>
      </w:pPr>
      <w:bookmarkStart w:id="0" w:name="_GoBack"/>
      <w:r>
        <w:rPr>
          <w:rFonts w:ascii="Times New Roman" w:hAnsi="Times New Roman" w:eastAsia="Times New Roman" w:cs="Times New Roman"/>
          <w:b/>
          <w:bCs/>
          <w:sz w:val="28"/>
          <w:szCs w:val="28"/>
        </w:rPr>
        <w:t>The Impact of AI-Driven Automation and Security Threats on Industrial Project Integration</w:t>
      </w:r>
    </w:p>
    <w:bookmarkEnd w:id="0"/>
    <w:p w14:paraId="2B3CBC2F">
      <w:pPr>
        <w:spacing w:after="40"/>
        <w:jc w:val="center"/>
        <w:rPr>
          <w:rFonts w:hint="default"/>
          <w:lang w:val="en-US"/>
        </w:rPr>
      </w:pPr>
      <w:r>
        <w:rPr>
          <w:rFonts w:hint="default"/>
          <w:lang w:val="en-US"/>
        </w:rPr>
        <w:t>Vemulawada Navyasri</w:t>
      </w:r>
    </w:p>
    <w:p w14:paraId="7705EFF9">
      <w:pPr>
        <w:spacing w:after="120"/>
        <w:jc w:val="both"/>
      </w:pPr>
      <w:r>
        <w:rPr>
          <w:rFonts w:ascii="Times New Roman" w:hAnsi="Times New Roman" w:eastAsia="Times New Roman" w:cs="Times New Roman"/>
          <w:b/>
          <w:bCs/>
          <w:i/>
          <w:iCs/>
          <w:sz w:val="18"/>
          <w:szCs w:val="18"/>
        </w:rPr>
        <w:t xml:space="preserve">Abstract— </w:t>
      </w:r>
      <w:r>
        <w:rPr>
          <w:rFonts w:ascii="Times New Roman" w:hAnsi="Times New Roman" w:eastAsia="Times New Roman" w:cs="Times New Roman"/>
          <w:i w:val="0"/>
          <w:iCs w:val="0"/>
          <w:sz w:val="18"/>
          <w:szCs w:val="18"/>
        </w:rPr>
        <w:t>The convergence of AI-driven automation with industrial control environments is reshaping how integration projects are designed, but it is also expanding the points at which those projects are exposed to security threats. Existing research tends to treat AI-driven efficiency gains and industrial cybersecurity as separate topics, leaving a gap around the specific integration points—data ingestion, transformation, autonomous decision-making, and actuation—where the two intersect. This paper reviews the current literature on industrial automation, cybersecurity threats, and integration challenges, then proposes a research design that examines real and representative integration case studies to identify where security risk concentrates and what design-stage interventions can reduce it. The expected contribution is a combined framework that treats the integration point itself, rather than the AI model or the control system in isolation, as the primary unit of security analysis, along with practical, design-stage guidance for integration teams.</w:t>
      </w:r>
    </w:p>
    <w:p w14:paraId="26410847">
      <w:pPr>
        <w:spacing w:after="300"/>
        <w:jc w:val="both"/>
      </w:pPr>
      <w:r>
        <w:rPr>
          <w:rFonts w:ascii="Times New Roman" w:hAnsi="Times New Roman" w:eastAsia="Times New Roman" w:cs="Times New Roman"/>
          <w:b/>
          <w:bCs/>
          <w:i/>
          <w:iCs/>
          <w:sz w:val="18"/>
          <w:szCs w:val="18"/>
        </w:rPr>
        <w:t xml:space="preserve">Index Terms— </w:t>
      </w:r>
      <w:r>
        <w:rPr>
          <w:rFonts w:ascii="Times New Roman" w:hAnsi="Times New Roman" w:eastAsia="Times New Roman" w:cs="Times New Roman"/>
          <w:i/>
          <w:iCs/>
          <w:sz w:val="18"/>
          <w:szCs w:val="18"/>
        </w:rPr>
        <w:t>Industrial Cyber-Physical Systems, AI-Driven Automation, Industrial Control Systems, Cybersecurity, SCADA, PLC, Systems Integration, Agentic AI.</w:t>
      </w:r>
    </w:p>
    <w:p w14:paraId="64CC8AEB">
      <w:pPr>
        <w:sectPr>
          <w:type w:val="continuous"/>
          <w:pgSz w:w="12240" w:h="15840"/>
          <w:pgMar w:top="1080" w:right="1080" w:bottom="1080" w:left="1080" w:header="708" w:footer="708" w:gutter="0"/>
          <w:cols w:space="720" w:num="1"/>
          <w:docGrid w:linePitch="360" w:charSpace="0"/>
        </w:sectPr>
      </w:pPr>
    </w:p>
    <w:p w14:paraId="387D5213">
      <w:pPr>
        <w:spacing w:before="200" w:after="120"/>
        <w:jc w:val="center"/>
      </w:pPr>
      <w:r>
        <w:rPr>
          <w:rFonts w:ascii="Times New Roman" w:hAnsi="Times New Roman" w:eastAsia="Times New Roman" w:cs="Times New Roman"/>
          <w:b/>
          <w:bCs/>
          <w:caps/>
          <w:sz w:val="20"/>
          <w:szCs w:val="20"/>
        </w:rPr>
        <w:t>I. Introduction</w:t>
      </w:r>
    </w:p>
    <w:p w14:paraId="66E6F6AC">
      <w:pPr>
        <w:spacing w:before="160" w:after="80"/>
        <w:jc w:val="left"/>
      </w:pPr>
      <w:r>
        <w:rPr>
          <w:rFonts w:ascii="Times New Roman" w:hAnsi="Times New Roman" w:eastAsia="Times New Roman" w:cs="Times New Roman"/>
          <w:b/>
          <w:bCs/>
          <w:i/>
          <w:iCs/>
          <w:sz w:val="20"/>
          <w:szCs w:val="20"/>
        </w:rPr>
        <w:t>A. Background Context</w:t>
      </w:r>
    </w:p>
    <w:p w14:paraId="6E342447">
      <w:pPr>
        <w:spacing w:after="120" w:line="240" w:lineRule="auto"/>
        <w:jc w:val="both"/>
      </w:pPr>
      <w:r>
        <w:rPr>
          <w:rFonts w:ascii="Times New Roman" w:hAnsi="Times New Roman" w:eastAsia="Times New Roman" w:cs="Times New Roman"/>
          <w:b w:val="0"/>
          <w:bCs w:val="0"/>
          <w:i w:val="0"/>
          <w:iCs w:val="0"/>
          <w:sz w:val="20"/>
          <w:szCs w:val="20"/>
        </w:rPr>
        <w:t>Industrial integration projects used to be much simpler. A plant would just bring in a PLC, connect it to an existing SCADA system, and the job of "integration" usually just meant getting sensor data onto a local historian. That way of working has changed a lot over the last few years. Today, Industry 4.0 projects often mix together sensor networks, cloud analytics, third-party AI services, and on-prem control systems into one big data pipeline. These are often built using low-code middleware platforms instead of custom code. Because of this, an "integration project" today is not just about connecting two systems. It is like stitching together a chain of five or six different systems. Each system is owned by a different vendor, each has its own way of checking identities, and each one can send bad data or a bad instruction to the next link in the chain.</w:t>
      </w:r>
    </w:p>
    <w:p w14:paraId="2BC7AB13">
      <w:pPr>
        <w:spacing w:after="120" w:line="240" w:lineRule="auto"/>
        <w:jc w:val="both"/>
      </w:pPr>
      <w:r>
        <w:rPr>
          <w:rFonts w:ascii="Times New Roman" w:hAnsi="Times New Roman" w:eastAsia="Times New Roman" w:cs="Times New Roman"/>
          <w:b w:val="0"/>
          <w:bCs w:val="0"/>
          <w:i w:val="0"/>
          <w:iCs w:val="0"/>
          <w:sz w:val="20"/>
          <w:szCs w:val="20"/>
        </w:rPr>
        <w:t>This shift is a big deal for project integration because integration work is the exact spot where these systems touch each other. A weakness in one IoT sensor or one AI model is one thing. The real danger happens at the point where that sensor data moves into a workflow that triggers a physical machine. That handoff point—the mapping rules, the middleware recipes, or the API calls—is where most industrial integration teams spend their time. It is also where security has been ignored in the past because people thought it was "someone else's problem," like the network team or the vendor.</w:t>
      </w:r>
    </w:p>
    <w:p w14:paraId="3D1C0893">
      <w:pPr>
        <w:spacing w:before="160" w:after="80"/>
        <w:jc w:val="left"/>
      </w:pPr>
      <w:r>
        <w:rPr>
          <w:rFonts w:ascii="Times New Roman" w:hAnsi="Times New Roman" w:eastAsia="Times New Roman" w:cs="Times New Roman"/>
          <w:b/>
          <w:bCs/>
          <w:i/>
          <w:iCs/>
          <w:sz w:val="20"/>
          <w:szCs w:val="20"/>
        </w:rPr>
        <w:t>B. Problem Statement</w:t>
      </w:r>
    </w:p>
    <w:p w14:paraId="31A88276">
      <w:pPr>
        <w:spacing w:after="120" w:line="240" w:lineRule="auto"/>
        <w:jc w:val="both"/>
      </w:pPr>
      <w:r>
        <w:rPr>
          <w:rFonts w:ascii="Times New Roman" w:hAnsi="Times New Roman" w:eastAsia="Times New Roman" w:cs="Times New Roman"/>
          <w:b w:val="0"/>
          <w:bCs w:val="0"/>
          <w:i w:val="0"/>
          <w:iCs w:val="0"/>
          <w:sz w:val="20"/>
          <w:szCs w:val="20"/>
        </w:rPr>
        <w:t>Guides on industrial cybersecurity talk about AI-driven automation and security threats as two different things. One talk is about how AI makes work more efficient, and the other is about how ICS/SCADA environments are at risk from cyberattacks. In the real world, integration teams cannot separate these two. Every decision made by AI-driven automation—like which agent can write to a data table, which webhook starts an action, or which credentials a recipe uses—is also a security decision. There is not much research that looks at this connection directly. We need to know how the specific parts of AI-driven automation in industrial integration projects, such as decision loops, autonomous data pipelines, and middleware orchestration, create security risks that are different from old IT security or standard ICS security. This paper looks at that connection as the problem, not just a side note.</w:t>
      </w:r>
    </w:p>
    <w:p w14:paraId="1C8A3AFE">
      <w:pPr>
        <w:spacing w:before="160" w:after="80"/>
        <w:jc w:val="left"/>
      </w:pPr>
      <w:r>
        <w:rPr>
          <w:rFonts w:ascii="Times New Roman" w:hAnsi="Times New Roman" w:eastAsia="Times New Roman" w:cs="Times New Roman"/>
          <w:b/>
          <w:bCs/>
          <w:i/>
          <w:iCs/>
          <w:sz w:val="20"/>
          <w:szCs w:val="20"/>
        </w:rPr>
        <w:t>C. Research Objectives</w:t>
      </w:r>
    </w:p>
    <w:p w14:paraId="08F5F9DB">
      <w:pPr>
        <w:spacing w:after="120" w:line="240" w:lineRule="auto"/>
        <w:jc w:val="both"/>
      </w:pPr>
      <w:r>
        <w:rPr>
          <w:rFonts w:ascii="Times New Roman" w:hAnsi="Times New Roman" w:eastAsia="Times New Roman" w:cs="Times New Roman"/>
          <w:b w:val="0"/>
          <w:bCs w:val="0"/>
          <w:i w:val="0"/>
          <w:iCs w:val="0"/>
          <w:sz w:val="20"/>
          <w:szCs w:val="20"/>
        </w:rPr>
        <w:t>• To find the spots in AI-driven industrial integration workflows—like data ingestion, transformation, autonomous decision-making, and actuation—where security risks appear.</w:t>
      </w:r>
    </w:p>
    <w:p w14:paraId="0049DDD1">
      <w:pPr>
        <w:spacing w:after="120" w:line="240" w:lineRule="auto"/>
        <w:jc w:val="both"/>
      </w:pPr>
      <w:r>
        <w:rPr>
          <w:rFonts w:ascii="Times New Roman" w:hAnsi="Times New Roman" w:eastAsia="Times New Roman" w:cs="Times New Roman"/>
          <w:b w:val="0"/>
          <w:bCs w:val="0"/>
          <w:i w:val="0"/>
          <w:iCs w:val="0"/>
          <w:sz w:val="20"/>
          <w:szCs w:val="20"/>
        </w:rPr>
        <w:t>• To see how mixing operational technology like PLCs and SCADA with new AI-driven orchestration layers changes the threat model compared to using just one of those systems.</w:t>
      </w:r>
    </w:p>
    <w:p w14:paraId="2CA415DF">
      <w:pPr>
        <w:spacing w:after="120" w:line="240" w:lineRule="auto"/>
        <w:jc w:val="both"/>
      </w:pPr>
      <w:r>
        <w:rPr>
          <w:rFonts w:ascii="Times New Roman" w:hAnsi="Times New Roman" w:eastAsia="Times New Roman" w:cs="Times New Roman"/>
          <w:b w:val="0"/>
          <w:bCs w:val="0"/>
          <w:i w:val="0"/>
          <w:iCs w:val="0"/>
          <w:sz w:val="20"/>
          <w:szCs w:val="20"/>
        </w:rPr>
        <w:t>• To look at how integration teams try to fix these problems and see where those methods fail against AI-specific threats like people messing with sensor data or taking over autonomous control loops.</w:t>
      </w:r>
    </w:p>
    <w:p w14:paraId="17561F67">
      <w:pPr>
        <w:spacing w:after="120" w:line="240" w:lineRule="auto"/>
        <w:jc w:val="both"/>
      </w:pPr>
      <w:r>
        <w:rPr>
          <w:rFonts w:ascii="Times New Roman" w:hAnsi="Times New Roman" w:eastAsia="Times New Roman" w:cs="Times New Roman"/>
          <w:b w:val="0"/>
          <w:bCs w:val="0"/>
          <w:i w:val="0"/>
          <w:iCs w:val="0"/>
          <w:sz w:val="20"/>
          <w:szCs w:val="20"/>
        </w:rPr>
        <w:t>• To suggest a framework that integration teams can use while they are designing a project, not just after it is finished, to lower these risks.</w:t>
      </w:r>
    </w:p>
    <w:p w14:paraId="55530EAA">
      <w:pPr>
        <w:spacing w:before="200" w:after="120"/>
        <w:jc w:val="center"/>
      </w:pPr>
      <w:r>
        <w:rPr>
          <w:rFonts w:ascii="Times New Roman" w:hAnsi="Times New Roman" w:eastAsia="Times New Roman" w:cs="Times New Roman"/>
          <w:b/>
          <w:bCs/>
          <w:caps/>
          <w:sz w:val="20"/>
          <w:szCs w:val="20"/>
        </w:rPr>
        <w:t>II. Literature Review</w:t>
      </w:r>
    </w:p>
    <w:p w14:paraId="15186A56">
      <w:pPr>
        <w:spacing w:before="160" w:after="80"/>
        <w:jc w:val="left"/>
      </w:pPr>
      <w:r>
        <w:rPr>
          <w:rFonts w:ascii="Times New Roman" w:hAnsi="Times New Roman" w:eastAsia="Times New Roman" w:cs="Times New Roman"/>
          <w:b/>
          <w:bCs/>
          <w:i/>
          <w:iCs/>
          <w:sz w:val="20"/>
          <w:szCs w:val="20"/>
        </w:rPr>
        <w:t>A. Industrial Automation</w:t>
      </w:r>
    </w:p>
    <w:p w14:paraId="3020343B">
      <w:pPr>
        <w:spacing w:after="120" w:line="240" w:lineRule="auto"/>
        <w:jc w:val="both"/>
      </w:pPr>
      <w:r>
        <w:rPr>
          <w:rFonts w:ascii="Times New Roman" w:hAnsi="Times New Roman" w:eastAsia="Times New Roman" w:cs="Times New Roman"/>
          <w:b w:val="0"/>
          <w:bCs w:val="0"/>
          <w:i w:val="0"/>
          <w:iCs w:val="0"/>
          <w:sz w:val="20"/>
          <w:szCs w:val="20"/>
        </w:rPr>
        <w:t>The writing on automation has moved very fast. It has gone from talking about using IoT to monitor things to talking about AI-driven decision-making that is built into the work [1], [2]. In the past, automation was about gathering and showing data. Now, modern systems close the loop. An AI model does not just point out a problem; it can change a setting or start an action without a human helping [3], [4]. This part of the research is very important for integration work. This is because the automation layer—not the AI model itself—is what decides how much power an autonomous decision actually has when it reaches a physical machine.</w:t>
      </w:r>
    </w:p>
    <w:p w14:paraId="444B90E5">
      <w:pPr>
        <w:spacing w:before="160" w:after="80"/>
        <w:jc w:val="left"/>
      </w:pPr>
      <w:r>
        <w:rPr>
          <w:rFonts w:ascii="Times New Roman" w:hAnsi="Times New Roman" w:eastAsia="Times New Roman" w:cs="Times New Roman"/>
          <w:b/>
          <w:bCs/>
          <w:i/>
          <w:iCs/>
          <w:sz w:val="20"/>
          <w:szCs w:val="20"/>
        </w:rPr>
        <w:t>B. Cybersecurity Threats</w:t>
      </w:r>
    </w:p>
    <w:p w14:paraId="334A7C28">
      <w:pPr>
        <w:spacing w:after="120" w:line="240" w:lineRule="auto"/>
        <w:jc w:val="both"/>
      </w:pPr>
      <w:r>
        <w:rPr>
          <w:rFonts w:ascii="Times New Roman" w:hAnsi="Times New Roman" w:eastAsia="Times New Roman" w:cs="Times New Roman"/>
          <w:b w:val="0"/>
          <w:bCs w:val="0"/>
          <w:i w:val="0"/>
          <w:iCs w:val="0"/>
          <w:sz w:val="20"/>
          <w:szCs w:val="20"/>
        </w:rPr>
        <w:t>Research shows how the area that attackers can hit has grown as these systems get more connected and more autonomous [5], [6]. Some authors say that agentic AI is a new kind of risk. This is because the way AI makes decisions can be hard to see, and autonomous control loops can be tricked in ways that are not like old hacks. An attacker might not even need to break the system; they might just feed it information so the system makes a bad decision on its own [7]. Other studies show that attackers are using AI themselves to find and attack targets, which means defenses have to move much faster [8]. All of this suggests that old-fashioned defenses, like the simple perimeters used in most legacy SCADA/PLC environments, are not good enough to stop threats that change in real time [9], [10].</w:t>
      </w:r>
    </w:p>
    <w:p w14:paraId="6BA1E409">
      <w:pPr>
        <w:spacing w:before="160" w:after="80"/>
        <w:jc w:val="left"/>
      </w:pPr>
      <w:r>
        <w:rPr>
          <w:rFonts w:ascii="Times New Roman" w:hAnsi="Times New Roman" w:eastAsia="Times New Roman" w:cs="Times New Roman"/>
          <w:b/>
          <w:bCs/>
          <w:i/>
          <w:iCs/>
          <w:sz w:val="20"/>
          <w:szCs w:val="20"/>
        </w:rPr>
        <w:t>C. Integration Challenges</w:t>
      </w:r>
    </w:p>
    <w:p w14:paraId="7DF57C99">
      <w:pPr>
        <w:spacing w:after="120" w:line="240" w:lineRule="auto"/>
        <w:jc w:val="both"/>
      </w:pPr>
      <w:r>
        <w:rPr>
          <w:rFonts w:ascii="Times New Roman" w:hAnsi="Times New Roman" w:eastAsia="Times New Roman" w:cs="Times New Roman"/>
          <w:b w:val="0"/>
          <w:bCs w:val="0"/>
          <w:i w:val="0"/>
          <w:iCs w:val="0"/>
          <w:sz w:val="20"/>
          <w:szCs w:val="20"/>
        </w:rPr>
        <w:t>There is research specifically about integration, but it all points to the same thing: it is technically hard to connect AI systems to industrial control environments. This is made worse by a gap in management, because nobody is in charge of checking the security of the connection point itself [11], [12]. Research on ICS resilience has started to warn that smart sensors and actuators are a weak point. This is because these parts sit between the physical process and the AI-driven decision layer, and they are often the least protected parts of the whole setup [13], [14]. Some authors even say that in complex systems it is getting very hard to tell the difference between a smart AI making a process better and an attacker messing with the system. Both can just look like "the system acting weird" [15]. That confusion is the real-world problem this paper wants to solve.</w:t>
      </w:r>
    </w:p>
    <w:p w14:paraId="1DC1BCF0">
      <w:pPr>
        <w:spacing w:before="200" w:after="120"/>
        <w:jc w:val="center"/>
      </w:pPr>
      <w:r>
        <w:rPr>
          <w:rFonts w:ascii="Times New Roman" w:hAnsi="Times New Roman" w:eastAsia="Times New Roman" w:cs="Times New Roman"/>
          <w:b/>
          <w:bCs/>
          <w:caps/>
          <w:sz w:val="20"/>
          <w:szCs w:val="20"/>
        </w:rPr>
        <w:t>III. Research Questions</w:t>
      </w:r>
    </w:p>
    <w:p w14:paraId="793F2AE3">
      <w:pPr>
        <w:spacing w:after="120" w:line="240" w:lineRule="auto"/>
        <w:jc w:val="both"/>
      </w:pPr>
      <w:r>
        <w:rPr>
          <w:rFonts w:ascii="Times New Roman" w:hAnsi="Times New Roman" w:eastAsia="Times New Roman" w:cs="Times New Roman"/>
          <w:b w:val="0"/>
          <w:bCs w:val="0"/>
          <w:i w:val="0"/>
          <w:iCs w:val="0"/>
          <w:sz w:val="20"/>
          <w:szCs w:val="20"/>
        </w:rPr>
        <w:t>1) At which steps of an AI-driven industrial integration workflow (ingestion, transformation, decision, actuation) do security risks pile up, and why?</w:t>
      </w:r>
    </w:p>
    <w:p w14:paraId="6AC8EF7E">
      <w:pPr>
        <w:spacing w:after="120" w:line="240" w:lineRule="auto"/>
        <w:jc w:val="both"/>
      </w:pPr>
      <w:r>
        <w:rPr>
          <w:rFonts w:ascii="Times New Roman" w:hAnsi="Times New Roman" w:eastAsia="Times New Roman" w:cs="Times New Roman"/>
          <w:b w:val="0"/>
          <w:bCs w:val="0"/>
          <w:i w:val="0"/>
          <w:iCs w:val="0"/>
          <w:sz w:val="20"/>
          <w:szCs w:val="20"/>
        </w:rPr>
        <w:t>2) How does mixing legacy OT with AI-driven middleware change the types of security gaps compared to looking at each one separately?</w:t>
      </w:r>
    </w:p>
    <w:p w14:paraId="08D2A05B">
      <w:pPr>
        <w:spacing w:after="120" w:line="240" w:lineRule="auto"/>
        <w:jc w:val="both"/>
      </w:pPr>
      <w:r>
        <w:rPr>
          <w:rFonts w:ascii="Times New Roman" w:hAnsi="Times New Roman" w:eastAsia="Times New Roman" w:cs="Times New Roman"/>
          <w:b w:val="0"/>
          <w:bCs w:val="0"/>
          <w:i w:val="0"/>
          <w:iCs w:val="0"/>
          <w:sz w:val="20"/>
          <w:szCs w:val="20"/>
        </w:rPr>
        <w:t>3) What methods are integration teams using now, and do those methods actually work against AI-specific threats like fake data or hijacked autonomous decisions?</w:t>
      </w:r>
    </w:p>
    <w:p w14:paraId="4299F7A7">
      <w:pPr>
        <w:spacing w:after="120" w:line="240" w:lineRule="auto"/>
        <w:jc w:val="both"/>
      </w:pPr>
      <w:r>
        <w:rPr>
          <w:rFonts w:ascii="Times New Roman" w:hAnsi="Times New Roman" w:eastAsia="Times New Roman" w:cs="Times New Roman"/>
          <w:b w:val="0"/>
          <w:bCs w:val="0"/>
          <w:i w:val="0"/>
          <w:iCs w:val="0"/>
          <w:sz w:val="20"/>
          <w:szCs w:val="20"/>
        </w:rPr>
        <w:t>4) What steps taken during the design stage could actually lower the risk in these integration projects?</w:t>
      </w:r>
    </w:p>
    <w:p w14:paraId="5EE9298A">
      <w:pPr>
        <w:spacing w:before="200" w:after="120"/>
        <w:jc w:val="center"/>
      </w:pPr>
      <w:r>
        <w:rPr>
          <w:rFonts w:ascii="Times New Roman" w:hAnsi="Times New Roman" w:eastAsia="Times New Roman" w:cs="Times New Roman"/>
          <w:b/>
          <w:bCs/>
          <w:caps/>
          <w:sz w:val="20"/>
          <w:szCs w:val="20"/>
        </w:rPr>
        <w:t>IV. Research Methodology</w:t>
      </w:r>
    </w:p>
    <w:p w14:paraId="0E1B6217">
      <w:pPr>
        <w:spacing w:before="160" w:after="80"/>
        <w:jc w:val="left"/>
      </w:pPr>
      <w:r>
        <w:rPr>
          <w:rFonts w:ascii="Times New Roman" w:hAnsi="Times New Roman" w:eastAsia="Times New Roman" w:cs="Times New Roman"/>
          <w:b/>
          <w:bCs/>
          <w:i/>
          <w:iCs/>
          <w:sz w:val="20"/>
          <w:szCs w:val="20"/>
        </w:rPr>
        <w:t>A. Research Design</w:t>
      </w:r>
    </w:p>
    <w:p w14:paraId="3866FD5B">
      <w:pPr>
        <w:spacing w:after="120" w:line="240" w:lineRule="auto"/>
        <w:jc w:val="both"/>
      </w:pPr>
      <w:r>
        <w:rPr>
          <w:rFonts w:ascii="Times New Roman" w:hAnsi="Times New Roman" w:eastAsia="Times New Roman" w:cs="Times New Roman"/>
          <w:b w:val="0"/>
          <w:bCs w:val="0"/>
          <w:i w:val="0"/>
          <w:iCs w:val="0"/>
          <w:sz w:val="20"/>
          <w:szCs w:val="20"/>
        </w:rPr>
        <w:t>This study uses two methods. First, a literature review to see what is already known. Second, a look at real-life case studies from integration projects. A case-study approach works better than theory alone here, because the risks show up in details like which webhook has permission to write data, how errors are handled, or whether a middleware recipe checks data before it acts. These things are not visible when "AI security" is discussed only in the abstract.</w:t>
      </w:r>
    </w:p>
    <w:p w14:paraId="72062C2E">
      <w:pPr>
        <w:spacing w:before="160" w:after="80"/>
        <w:jc w:val="left"/>
      </w:pPr>
      <w:r>
        <w:rPr>
          <w:rFonts w:ascii="Times New Roman" w:hAnsi="Times New Roman" w:eastAsia="Times New Roman" w:cs="Times New Roman"/>
          <w:b/>
          <w:bCs/>
          <w:i/>
          <w:iCs/>
          <w:sz w:val="20"/>
          <w:szCs w:val="20"/>
        </w:rPr>
        <w:t>B. Data Collection</w:t>
      </w:r>
    </w:p>
    <w:p w14:paraId="37F18AC6">
      <w:pPr>
        <w:spacing w:after="120" w:line="240" w:lineRule="auto"/>
        <w:jc w:val="both"/>
      </w:pPr>
      <w:r>
        <w:rPr>
          <w:rFonts w:ascii="Times New Roman" w:hAnsi="Times New Roman" w:eastAsia="Times New Roman" w:cs="Times New Roman"/>
          <w:b w:val="0"/>
          <w:bCs w:val="0"/>
          <w:i w:val="0"/>
          <w:iCs w:val="0"/>
          <w:sz w:val="20"/>
          <w:szCs w:val="20"/>
        </w:rPr>
        <w:t>Data will be collected from two places. First, existing research and public documentation for industrial automation platforms (such as the middleware and tools used in integration work), looking for documented security features, known limits, and reported problems. Second, data from a few real or representative integration case studies—for example, a middleware pipeline that connects an ERP system to a third-party logistics provider, or an AI assistant used for operational decision-making—looking at where autonomous decisions happen and what controls exist to manage them.</w:t>
      </w:r>
    </w:p>
    <w:p w14:paraId="425A56C9">
      <w:pPr>
        <w:spacing w:before="160" w:after="80"/>
        <w:jc w:val="left"/>
      </w:pPr>
      <w:r>
        <w:rPr>
          <w:rFonts w:ascii="Times New Roman" w:hAnsi="Times New Roman" w:eastAsia="Times New Roman" w:cs="Times New Roman"/>
          <w:b/>
          <w:bCs/>
          <w:i/>
          <w:iCs/>
          <w:sz w:val="20"/>
          <w:szCs w:val="20"/>
        </w:rPr>
        <w:t>C. Data Analysis</w:t>
      </w:r>
    </w:p>
    <w:p w14:paraId="18CB0685">
      <w:pPr>
        <w:spacing w:after="120" w:line="240" w:lineRule="auto"/>
        <w:jc w:val="both"/>
      </w:pPr>
      <w:r>
        <w:rPr>
          <w:rFonts w:ascii="Times New Roman" w:hAnsi="Times New Roman" w:eastAsia="Times New Roman" w:cs="Times New Roman"/>
          <w:b w:val="0"/>
          <w:bCs w:val="0"/>
          <w:i w:val="0"/>
          <w:iCs w:val="0"/>
          <w:sz w:val="20"/>
          <w:szCs w:val="20"/>
        </w:rPr>
        <w:t>Case study data will be analyzed by looking for themes. Each integration point will be checked against the four workflow stages (ingestion, transformation, decision, actuation) and grouped using a simple risk classification (data integrity risk, access control risk, and decision-authority risk). This gives a way to compare very different systems—like a Workato recipe and a ThingWorx-based agent—using the same rules, instead of treating each as a separate one-off case.</w:t>
      </w:r>
    </w:p>
    <w:p w14:paraId="1BC51F9A">
      <w:pPr>
        <w:spacing w:before="200" w:after="120"/>
        <w:jc w:val="center"/>
      </w:pPr>
      <w:r>
        <w:rPr>
          <w:rFonts w:ascii="Times New Roman" w:hAnsi="Times New Roman" w:eastAsia="Times New Roman" w:cs="Times New Roman"/>
          <w:b/>
          <w:bCs/>
          <w:caps/>
          <w:sz w:val="20"/>
          <w:szCs w:val="20"/>
        </w:rPr>
        <w:t>V. Expected Contributions</w:t>
      </w:r>
    </w:p>
    <w:p w14:paraId="613DE9D3">
      <w:pPr>
        <w:spacing w:before="160" w:after="80"/>
        <w:jc w:val="left"/>
      </w:pPr>
      <w:r>
        <w:rPr>
          <w:rFonts w:ascii="Times New Roman" w:hAnsi="Times New Roman" w:eastAsia="Times New Roman" w:cs="Times New Roman"/>
          <w:b/>
          <w:bCs/>
          <w:i/>
          <w:iCs/>
          <w:sz w:val="20"/>
          <w:szCs w:val="20"/>
        </w:rPr>
        <w:t>A. Theoretical Contributions</w:t>
      </w:r>
    </w:p>
    <w:p w14:paraId="203A77EC">
      <w:pPr>
        <w:spacing w:after="120" w:line="240" w:lineRule="auto"/>
        <w:jc w:val="both"/>
      </w:pPr>
      <w:r>
        <w:rPr>
          <w:rFonts w:ascii="Times New Roman" w:hAnsi="Times New Roman" w:eastAsia="Times New Roman" w:cs="Times New Roman"/>
          <w:b w:val="0"/>
          <w:bCs w:val="0"/>
          <w:i w:val="0"/>
          <w:iCs w:val="0"/>
          <w:sz w:val="20"/>
          <w:szCs w:val="20"/>
        </w:rPr>
        <w:t>Most current frameworks treat "AI risk" and "OT/ICS risk" as two separate paths, each with its own rules and ways to fix them. The main theoretical goal of this paper is to build a combined framework that treats the integration point itself—not the AI model and not the control system—as the thing to study for risk. This way of thinking is useful because it matches how these systems are actually built: nobody designs an AI system and a control system separately and then bolts them together. Instead, people build a pipeline, and that pipeline is where the vulnerabilities live.</w:t>
      </w:r>
    </w:p>
    <w:p w14:paraId="48C944E8">
      <w:pPr>
        <w:spacing w:before="160" w:after="80"/>
        <w:jc w:val="left"/>
      </w:pPr>
      <w:r>
        <w:rPr>
          <w:rFonts w:ascii="Times New Roman" w:hAnsi="Times New Roman" w:eastAsia="Times New Roman" w:cs="Times New Roman"/>
          <w:b/>
          <w:bCs/>
          <w:i/>
          <w:iCs/>
          <w:sz w:val="20"/>
          <w:szCs w:val="20"/>
        </w:rPr>
        <w:t>B. Practical Implications</w:t>
      </w:r>
    </w:p>
    <w:p w14:paraId="3081157C">
      <w:pPr>
        <w:spacing w:after="120" w:line="240" w:lineRule="auto"/>
        <w:jc w:val="both"/>
      </w:pPr>
      <w:r>
        <w:rPr>
          <w:rFonts w:ascii="Times New Roman" w:hAnsi="Times New Roman" w:eastAsia="Times New Roman" w:cs="Times New Roman"/>
          <w:b w:val="0"/>
          <w:bCs w:val="0"/>
          <w:i w:val="0"/>
          <w:iCs w:val="0"/>
          <w:sz w:val="20"/>
          <w:szCs w:val="20"/>
        </w:rPr>
        <w:t>For people working in the field, the goal is to provide a set of questions that integration teams can ask while they are designing a project, rather than waiting until it is finished. This will not be a generic security checklist; it will be specific to AI-driven automation. For example, a question might be: "Does this autonomous decision step have a defined set of actions it can take, or can it do anything to the target system?" This is meant to be something teams can use while they are already reviewing business requirements or mapping specifications, not an audit forced on them later.</w:t>
      </w:r>
    </w:p>
    <w:p w14:paraId="331CE245">
      <w:pPr>
        <w:spacing w:before="200" w:after="120"/>
        <w:jc w:val="center"/>
      </w:pPr>
      <w:r>
        <w:rPr>
          <w:rFonts w:ascii="Times New Roman" w:hAnsi="Times New Roman" w:eastAsia="Times New Roman" w:cs="Times New Roman"/>
          <w:b/>
          <w:bCs/>
          <w:caps/>
          <w:sz w:val="20"/>
          <w:szCs w:val="20"/>
        </w:rPr>
        <w:t>VI. Risk Mitigation</w:t>
      </w:r>
    </w:p>
    <w:p w14:paraId="539C9866">
      <w:pPr>
        <w:spacing w:after="120" w:line="240" w:lineRule="auto"/>
        <w:jc w:val="both"/>
      </w:pPr>
      <w:r>
        <w:rPr>
          <w:rFonts w:ascii="Times New Roman" w:hAnsi="Times New Roman" w:eastAsia="Times New Roman" w:cs="Times New Roman"/>
          <w:b w:val="0"/>
          <w:bCs w:val="0"/>
          <w:i w:val="0"/>
          <w:iCs w:val="0"/>
          <w:sz w:val="20"/>
          <w:szCs w:val="20"/>
        </w:rPr>
        <w:t>Based on the research and the framework above, fixing these problems will likely involve a set of specific habits rather than one single solution. One approach is to limit the actions that autonomous systems are allowed to take, so that if a wrong decision happens, the harm stays within a bounded area. Data should be validated and cleaned every time it moves from one place to another, rather than trusting upstream systems by default. Human review should be kept in place for actions that carry meaningful risk, even within otherwise automatic workflows. Legacy OT components also need to be treated as a fixed limit: these components often cannot be patched or updated as fast as the AI layer sitting above them, so the integration design has to work around that constraint instead of assuming it away.</w:t>
      </w:r>
    </w:p>
    <w:p w14:paraId="166205D3">
      <w:pPr>
        <w:spacing w:before="200" w:after="120"/>
        <w:jc w:val="center"/>
      </w:pPr>
      <w:r>
        <w:rPr>
          <w:rFonts w:ascii="Times New Roman" w:hAnsi="Times New Roman" w:eastAsia="Times New Roman" w:cs="Times New Roman"/>
          <w:b/>
          <w:bCs/>
          <w:caps/>
          <w:sz w:val="20"/>
          <w:szCs w:val="20"/>
        </w:rPr>
        <w:t>VII. Project Plan</w:t>
      </w:r>
    </w:p>
    <w:p w14:paraId="091F998E">
      <w:pPr>
        <w:spacing w:after="120" w:line="240" w:lineRule="auto"/>
        <w:jc w:val="both"/>
      </w:pPr>
      <w:r>
        <w:rPr>
          <w:rFonts w:ascii="Times New Roman" w:hAnsi="Times New Roman" w:eastAsia="Times New Roman" w:cs="Times New Roman"/>
          <w:b w:val="0"/>
          <w:bCs w:val="0"/>
          <w:i w:val="0"/>
          <w:iCs w:val="0"/>
          <w:sz w:val="20"/>
          <w:szCs w:val="20"/>
        </w:rPr>
        <w:t>The project is expected to move through four phases: (1) finishing the literature review and the final risk classification framework, (2) selecting and gaining access to case-study material, (3) doing the case-study analysis and coding, and (4) putting the findings into the framework and writing the conclusions and recommendations. Extra time should be built into phase 2, since getting access to real industrial case-study data is usually the slowest part of this kind of research, compared to using public examples.</w:t>
      </w:r>
    </w:p>
    <w:p w14:paraId="6D9E0BDE">
      <w:pPr>
        <w:spacing w:before="200" w:after="120"/>
        <w:jc w:val="center"/>
      </w:pPr>
      <w:r>
        <w:rPr>
          <w:rFonts w:ascii="Times New Roman" w:hAnsi="Times New Roman" w:eastAsia="Times New Roman" w:cs="Times New Roman"/>
          <w:b/>
          <w:bCs/>
          <w:caps/>
          <w:sz w:val="20"/>
          <w:szCs w:val="20"/>
        </w:rPr>
        <w:t>VIII. Ethics and Governance</w:t>
      </w:r>
    </w:p>
    <w:p w14:paraId="410610E0">
      <w:pPr>
        <w:spacing w:after="120" w:line="240" w:lineRule="auto"/>
        <w:jc w:val="both"/>
      </w:pPr>
      <w:r>
        <w:rPr>
          <w:rFonts w:ascii="Times New Roman" w:hAnsi="Times New Roman" w:eastAsia="Times New Roman" w:cs="Times New Roman"/>
          <w:b w:val="0"/>
          <w:bCs w:val="0"/>
          <w:i w:val="0"/>
          <w:iCs w:val="0"/>
          <w:sz w:val="20"/>
          <w:szCs w:val="20"/>
        </w:rPr>
        <w:t>Because this research looks at security gaps in real systems, care is needed throughout. Any case-study material about real, working systems must be anonymized so that findings cannot be used as a guide to attack a facility. Where case studies are drawn from an organization's live systems, permission and institutional review should be obtained before any configuration details are written down. Identifying information—such as company names, specific network architecture, or credentials—will be left out of the published paper. If vulnerabilities are found in named systems, responsible disclosure practices will be followed instead of publishing the details outright.</w:t>
      </w:r>
    </w:p>
    <w:p w14:paraId="148694FE">
      <w:pPr>
        <w:spacing w:before="200" w:after="120"/>
        <w:jc w:val="center"/>
      </w:pPr>
      <w:r>
        <w:rPr>
          <w:rFonts w:ascii="Times New Roman" w:hAnsi="Times New Roman" w:eastAsia="Times New Roman" w:cs="Times New Roman"/>
          <w:b/>
          <w:bCs/>
          <w:caps/>
          <w:sz w:val="20"/>
          <w:szCs w:val="20"/>
        </w:rPr>
        <w:t>References</w:t>
      </w:r>
    </w:p>
    <w:p w14:paraId="2AC564A8">
      <w:pPr>
        <w:spacing w:after="60" w:line="240" w:lineRule="auto"/>
        <w:ind w:left="360" w:hanging="360"/>
        <w:jc w:val="both"/>
      </w:pPr>
      <w:r>
        <w:rPr>
          <w:rFonts w:ascii="Times New Roman" w:hAnsi="Times New Roman" w:eastAsia="Times New Roman" w:cs="Times New Roman"/>
          <w:sz w:val="18"/>
          <w:szCs w:val="18"/>
        </w:rPr>
        <w:t>[1] Govindaraj et al., "[Title of paper]," [Journal/Conference name], 2025.</w:t>
      </w:r>
    </w:p>
    <w:p w14:paraId="38413317">
      <w:pPr>
        <w:spacing w:after="60" w:line="240" w:lineRule="auto"/>
        <w:ind w:left="360" w:hanging="360"/>
        <w:jc w:val="both"/>
      </w:pPr>
      <w:r>
        <w:rPr>
          <w:rFonts w:ascii="Times New Roman" w:hAnsi="Times New Roman" w:eastAsia="Times New Roman" w:cs="Times New Roman"/>
          <w:sz w:val="18"/>
          <w:szCs w:val="18"/>
        </w:rPr>
        <w:t>[2] USA and P. Dontha, "[Title of paper]," [Journal/Conference name], 2023.</w:t>
      </w:r>
    </w:p>
    <w:p w14:paraId="2F30570A">
      <w:pPr>
        <w:spacing w:after="60" w:line="240" w:lineRule="auto"/>
        <w:ind w:left="360" w:hanging="360"/>
        <w:jc w:val="both"/>
      </w:pPr>
      <w:r>
        <w:rPr>
          <w:rFonts w:ascii="Times New Roman" w:hAnsi="Times New Roman" w:eastAsia="Times New Roman" w:cs="Times New Roman"/>
          <w:sz w:val="18"/>
          <w:szCs w:val="18"/>
        </w:rPr>
        <w:t>[3] Al-Quayed et al., "[Title of paper]," [Journal/Conference name], 2024.</w:t>
      </w:r>
    </w:p>
    <w:p w14:paraId="43295FB7">
      <w:pPr>
        <w:spacing w:after="60" w:line="240" w:lineRule="auto"/>
        <w:ind w:left="360" w:hanging="360"/>
        <w:jc w:val="both"/>
      </w:pPr>
      <w:r>
        <w:rPr>
          <w:rFonts w:ascii="Times New Roman" w:hAnsi="Times New Roman" w:eastAsia="Times New Roman" w:cs="Times New Roman"/>
          <w:sz w:val="18"/>
          <w:szCs w:val="18"/>
        </w:rPr>
        <w:t>[4] Homaei et al., "[Title of paper]," [Journal/Conference name], 2024.</w:t>
      </w:r>
    </w:p>
    <w:p w14:paraId="2188DA7B">
      <w:pPr>
        <w:spacing w:after="60" w:line="240" w:lineRule="auto"/>
        <w:ind w:left="360" w:hanging="360"/>
        <w:jc w:val="both"/>
      </w:pPr>
      <w:r>
        <w:rPr>
          <w:rFonts w:ascii="Times New Roman" w:hAnsi="Times New Roman" w:eastAsia="Times New Roman" w:cs="Times New Roman"/>
          <w:sz w:val="18"/>
          <w:szCs w:val="18"/>
        </w:rPr>
        <w:t>[5] Heleen, "[Title of paper]," [Journal/Conference name], 2025.</w:t>
      </w:r>
    </w:p>
    <w:p w14:paraId="34A951D3">
      <w:pPr>
        <w:spacing w:after="60" w:line="240" w:lineRule="auto"/>
        <w:ind w:left="360" w:hanging="360"/>
        <w:jc w:val="both"/>
      </w:pPr>
      <w:r>
        <w:rPr>
          <w:rFonts w:ascii="Times New Roman" w:hAnsi="Times New Roman" w:eastAsia="Times New Roman" w:cs="Times New Roman"/>
          <w:sz w:val="18"/>
          <w:szCs w:val="18"/>
        </w:rPr>
        <w:t>[6] Bajwa et al., "[Title of paper]," [Journal/Conference name], 2025.</w:t>
      </w:r>
    </w:p>
    <w:p w14:paraId="09871654">
      <w:pPr>
        <w:spacing w:after="60" w:line="240" w:lineRule="auto"/>
        <w:ind w:left="360" w:hanging="360"/>
        <w:jc w:val="both"/>
      </w:pPr>
      <w:r>
        <w:rPr>
          <w:rFonts w:ascii="Times New Roman" w:hAnsi="Times New Roman" w:eastAsia="Times New Roman" w:cs="Times New Roman"/>
          <w:sz w:val="18"/>
          <w:szCs w:val="18"/>
        </w:rPr>
        <w:t>[7] Shrestha et al., "[Title of paper]," [Journal/Conference name], 2025.</w:t>
      </w:r>
    </w:p>
    <w:p w14:paraId="342A52BE">
      <w:pPr>
        <w:spacing w:after="60" w:line="240" w:lineRule="auto"/>
        <w:ind w:left="360" w:hanging="360"/>
        <w:jc w:val="both"/>
      </w:pPr>
      <w:r>
        <w:rPr>
          <w:rFonts w:ascii="Times New Roman" w:hAnsi="Times New Roman" w:eastAsia="Times New Roman" w:cs="Times New Roman"/>
          <w:sz w:val="18"/>
          <w:szCs w:val="18"/>
        </w:rPr>
        <w:t>[8] Azambuja et al., "[Title of paper]," [Journal/Conference name], 2023.</w:t>
      </w:r>
    </w:p>
    <w:p w14:paraId="6EEC4F8B">
      <w:pPr>
        <w:spacing w:after="60" w:line="240" w:lineRule="auto"/>
        <w:ind w:left="360" w:hanging="360"/>
        <w:jc w:val="both"/>
      </w:pPr>
      <w:r>
        <w:rPr>
          <w:rFonts w:ascii="Times New Roman" w:hAnsi="Times New Roman" w:eastAsia="Times New Roman" w:cs="Times New Roman"/>
          <w:sz w:val="18"/>
          <w:szCs w:val="18"/>
        </w:rPr>
        <w:t>[9] Hassan et al., "[Title of paper]," [Journal/Conference name], 2024.</w:t>
      </w:r>
    </w:p>
    <w:p w14:paraId="1A0B0ED4">
      <w:pPr>
        <w:spacing w:after="60" w:line="240" w:lineRule="auto"/>
        <w:ind w:left="360" w:hanging="360"/>
        <w:jc w:val="both"/>
      </w:pPr>
      <w:r>
        <w:rPr>
          <w:rFonts w:ascii="Times New Roman" w:hAnsi="Times New Roman" w:eastAsia="Times New Roman" w:cs="Times New Roman"/>
          <w:sz w:val="18"/>
          <w:szCs w:val="18"/>
        </w:rPr>
        <w:t>[10] Tyagi et al., "[Title of paper]," [Journal/Conference name], 2025.</w:t>
      </w:r>
    </w:p>
    <w:p w14:paraId="357718BB">
      <w:pPr>
        <w:spacing w:after="60" w:line="240" w:lineRule="auto"/>
        <w:ind w:left="360" w:hanging="360"/>
        <w:jc w:val="both"/>
      </w:pPr>
      <w:r>
        <w:rPr>
          <w:rFonts w:ascii="Times New Roman" w:hAnsi="Times New Roman" w:eastAsia="Times New Roman" w:cs="Times New Roman"/>
          <w:sz w:val="18"/>
          <w:szCs w:val="18"/>
        </w:rPr>
        <w:t>[11] P. Dontha, "[Title of paper]," [Journal/Conference name], 2024.</w:t>
      </w:r>
    </w:p>
    <w:p w14:paraId="60E97D4D">
      <w:pPr>
        <w:spacing w:after="60" w:line="240" w:lineRule="auto"/>
        <w:ind w:left="360" w:hanging="360"/>
        <w:jc w:val="both"/>
      </w:pPr>
      <w:r>
        <w:rPr>
          <w:rFonts w:ascii="Times New Roman" w:hAnsi="Times New Roman" w:eastAsia="Times New Roman" w:cs="Times New Roman"/>
          <w:sz w:val="18"/>
          <w:szCs w:val="18"/>
        </w:rPr>
        <w:t>[12] Gadicha et al., "[Title of paper]," [Journal/Conference name], 2025.</w:t>
      </w:r>
    </w:p>
    <w:p w14:paraId="05FC6932">
      <w:pPr>
        <w:spacing w:after="60" w:line="240" w:lineRule="auto"/>
        <w:ind w:left="360" w:hanging="360"/>
        <w:jc w:val="both"/>
      </w:pPr>
      <w:r>
        <w:rPr>
          <w:rFonts w:ascii="Times New Roman" w:hAnsi="Times New Roman" w:eastAsia="Times New Roman" w:cs="Times New Roman"/>
          <w:sz w:val="18"/>
          <w:szCs w:val="18"/>
        </w:rPr>
        <w:t>[13] Hương et al., "[Title of paper]," [Journal/Conference name], 2021.</w:t>
      </w:r>
    </w:p>
    <w:p w14:paraId="45D35BF6">
      <w:pPr>
        <w:spacing w:after="60" w:line="240" w:lineRule="auto"/>
        <w:ind w:left="360" w:hanging="360"/>
        <w:jc w:val="both"/>
      </w:pPr>
      <w:r>
        <w:rPr>
          <w:rFonts w:ascii="Times New Roman" w:hAnsi="Times New Roman" w:eastAsia="Times New Roman" w:cs="Times New Roman"/>
          <w:sz w:val="18"/>
          <w:szCs w:val="18"/>
        </w:rPr>
        <w:t>[14] Sudha et al., "[Title of paper]," [Journal/Conference name], 2025.</w:t>
      </w:r>
    </w:p>
    <w:p w14:paraId="6EA21E17">
      <w:pPr>
        <w:spacing w:after="60" w:line="240" w:lineRule="auto"/>
        <w:ind w:left="360" w:hanging="360"/>
        <w:jc w:val="both"/>
      </w:pPr>
      <w:r>
        <w:rPr>
          <w:rFonts w:ascii="Times New Roman" w:hAnsi="Times New Roman" w:eastAsia="Times New Roman" w:cs="Times New Roman"/>
          <w:sz w:val="18"/>
          <w:szCs w:val="18"/>
        </w:rPr>
        <w:t>[15] Chae et al., "[Title of paper]," [Journal/Conference name], 2023.</w:t>
      </w:r>
    </w:p>
    <w:sectPr>
      <w:type w:val="continuous"/>
      <w:pgSz w:w="12240" w:h="15840"/>
      <w:pgMar w:top="1080" w:right="1080" w:bottom="1080" w:left="1080" w:header="708" w:footer="708" w:gutter="0"/>
      <w:cols w:space="360"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isplayBackgroundShape w:val="1"/>
  <w:documentProtection w:enforcement="0"/>
  <w:compat>
    <w:compatSetting w:name="compatibilityMode" w:uri="http://schemas.microsoft.com/office/word" w:val="15"/>
  </w:compat>
  <w:rsids>
    <w:rsidRoot w:val="00000000"/>
    <w:rsid w:val="33F14D82"/>
    <w:rsid w:val="3C207C7E"/>
    <w:rsid w:val="4F5A4E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character" w:styleId="14">
    <w:name w:val="Hyperlink"/>
    <w:unhideWhenUsed/>
    <w:qFormat/>
    <w:uiPriority w:val="99"/>
    <w:rPr>
      <w:color w:val="0563C1"/>
      <w:u w:val="single"/>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2106</Words>
  <Characters>11364</Characters>
  <TotalTime>3</TotalTime>
  <ScaleCrop>false</ScaleCrop>
  <LinksUpToDate>false</LinksUpToDate>
  <CharactersWithSpaces>13409</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2026-08-22T12:07:00Z</dcterms:created>
  <dc:creator>Un-named</dc:creator>
  <cp:lastModifiedBy>Srija vemulawada</cp:lastModifiedBy>
  <dcterms:modified xsi:type="dcterms:W3CDTF">2026-08-26T15:52:53Z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eyJoZGlkIjoiZGI5YTE2OTkxMDFiZjlhNzU5OWM3M2EyNzY5MTczNzYiLCJ1c2VySWQiOiI1Njc1NDcwMzQxMjgifQ==</vt:lpwstr>
  </property>
  <property fmtid="{D5CDD505-2E9C-101B-9397-08002B2CF9AE}" pid="3" name="KSOProductBuildVer">
    <vt:lpwstr>1033-12.1.0.28032</vt:lpwstr>
  </property>
  <property fmtid="{D5CDD505-2E9C-101B-9397-08002B2CF9AE}" pid="4" name="ICV">
    <vt:lpwstr>E882D9F41EC6453B89DAEE295B6C1438_13</vt:lpwstr>
  </property>
</Properties>
</file>