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89877" w14:textId="415636C4" w:rsidR="004902D4" w:rsidRDefault="00000000" w:rsidP="00EB3AEB">
      <w:pPr>
        <w:spacing w:after="200"/>
        <w:jc w:val="center"/>
      </w:pPr>
      <w:r>
        <w:rPr>
          <w:b/>
          <w:bCs/>
          <w:color w:val="1F3864"/>
          <w:sz w:val="36"/>
          <w:szCs w:val="36"/>
        </w:rPr>
        <w:t>The Role of Artificial Intelligence in Reducing Workplace Bia</w:t>
      </w:r>
      <w:r w:rsidR="002011AF">
        <w:rPr>
          <w:b/>
          <w:bCs/>
          <w:color w:val="1F3864"/>
          <w:sz w:val="36"/>
          <w:szCs w:val="36"/>
        </w:rPr>
        <w:t>s</w:t>
      </w:r>
    </w:p>
    <w:p w14:paraId="044DDE88" w14:textId="77777777" w:rsidR="004902D4" w:rsidRDefault="00000000">
      <w:pPr>
        <w:spacing w:after="100"/>
        <w:jc w:val="center"/>
      </w:pPr>
      <w:r>
        <w:rPr>
          <w:b/>
          <w:bCs/>
          <w:sz w:val="22"/>
          <w:szCs w:val="22"/>
        </w:rPr>
        <w:t>Mr. Reat Bol Ngundeng, Ochen Godfrey Yensuk, Dr. Manju Rani</w:t>
      </w:r>
    </w:p>
    <w:p w14:paraId="3A5EBDF4" w14:textId="77777777" w:rsidR="004902D4" w:rsidRDefault="004902D4">
      <w:pPr>
        <w:spacing w:after="80"/>
      </w:pPr>
    </w:p>
    <w:p w14:paraId="5FAA1C78" w14:textId="77777777" w:rsidR="004902D4" w:rsidRDefault="00000000">
      <w:pPr>
        <w:spacing w:after="100"/>
        <w:jc w:val="center"/>
      </w:pPr>
      <w:r>
        <w:rPr>
          <w:sz w:val="22"/>
          <w:szCs w:val="22"/>
        </w:rPr>
        <w:t>School of Computer Science Engineering &amp; Technology (</w:t>
      </w:r>
      <w:proofErr w:type="spellStart"/>
      <w:proofErr w:type="gramStart"/>
      <w:r>
        <w:rPr>
          <w:sz w:val="22"/>
          <w:szCs w:val="22"/>
        </w:rPr>
        <w:t>B.Tech</w:t>
      </w:r>
      <w:proofErr w:type="spellEnd"/>
      <w:proofErr w:type="gramEnd"/>
      <w:r>
        <w:rPr>
          <w:sz w:val="22"/>
          <w:szCs w:val="22"/>
        </w:rPr>
        <w:t xml:space="preserve"> / BCA)</w:t>
      </w:r>
    </w:p>
    <w:p w14:paraId="1C1317D7" w14:textId="77777777" w:rsidR="004902D4" w:rsidRDefault="00000000">
      <w:pPr>
        <w:spacing w:after="100"/>
        <w:jc w:val="center"/>
      </w:pPr>
      <w:proofErr w:type="spellStart"/>
      <w:r>
        <w:rPr>
          <w:sz w:val="22"/>
          <w:szCs w:val="22"/>
        </w:rPr>
        <w:t>Apeejay</w:t>
      </w:r>
      <w:proofErr w:type="spellEnd"/>
      <w:r>
        <w:rPr>
          <w:sz w:val="22"/>
          <w:szCs w:val="22"/>
        </w:rPr>
        <w:t xml:space="preserve"> Stya University, Sohna, Haryana, India</w:t>
      </w:r>
    </w:p>
    <w:p w14:paraId="23864A54" w14:textId="77777777" w:rsidR="004902D4" w:rsidRDefault="004902D4">
      <w:pPr>
        <w:spacing w:after="80"/>
      </w:pPr>
    </w:p>
    <w:p w14:paraId="71DE4D55" w14:textId="77777777" w:rsidR="004902D4" w:rsidRDefault="00000000">
      <w:pPr>
        <w:pBdr>
          <w:bottom w:val="single" w:sz="4" w:space="4" w:color="2E74B5"/>
        </w:pBdr>
        <w:spacing w:before="320" w:after="120"/>
      </w:pPr>
      <w:r>
        <w:rPr>
          <w:b/>
          <w:bCs/>
          <w:color w:val="1F3864"/>
        </w:rPr>
        <w:t>ABSTRACT</w:t>
      </w:r>
    </w:p>
    <w:p w14:paraId="7849A764" w14:textId="633FECE1" w:rsidR="004902D4" w:rsidRDefault="00000000">
      <w:pPr>
        <w:spacing w:before="60" w:after="100"/>
        <w:jc w:val="both"/>
      </w:pPr>
      <w:r>
        <w:t xml:space="preserve">Artificial Intelligence (AI) is </w:t>
      </w:r>
      <w:r w:rsidR="002011AF">
        <w:t>increasingly</w:t>
      </w:r>
      <w:r>
        <w:t xml:space="preserve"> transforming modern workplaces by offering data-driven tools that have the potential to reduce systemic bias and promote fairness across key human resource functions, including recruitment, performance evaluation, and employee support systems. While AI-powered tools can anonymise candidate data, standardise evaluation metrics, and personalise employee wellness programmes, ethical oversight remains essential to ensure equitable outcomes and prevent the inadvertent replication of algorithmic biases rooted in historically skewed training data. This paper examines the mechanisms through which AI can address workplace bias, analyses the limitations and ethical challenges inherent in algorithmic decision-making, and argues that meaningful fairness in organisational contexts requires the integration of transparent data practices, continuous human oversight, and robust accountability frameworks.</w:t>
      </w:r>
    </w:p>
    <w:p w14:paraId="3CA7AEB9" w14:textId="77777777" w:rsidR="004902D4" w:rsidRDefault="004902D4">
      <w:pPr>
        <w:spacing w:after="80"/>
      </w:pPr>
    </w:p>
    <w:p w14:paraId="07E6D1BE" w14:textId="77777777" w:rsidR="004902D4" w:rsidRDefault="00000000">
      <w:pPr>
        <w:spacing w:after="100"/>
        <w:jc w:val="center"/>
      </w:pPr>
      <w:r>
        <w:rPr>
          <w:i/>
          <w:iCs/>
          <w:sz w:val="22"/>
          <w:szCs w:val="22"/>
        </w:rPr>
        <w:t>Keywords: Artificial Intelligence, Workplace Bias, Algorithmic Fairness, Recruitment Technology, HR Innovation, Ethical AI</w:t>
      </w:r>
    </w:p>
    <w:p w14:paraId="3D091408" w14:textId="77777777" w:rsidR="004902D4" w:rsidRDefault="00000000">
      <w:pPr>
        <w:pBdr>
          <w:bottom w:val="single" w:sz="4" w:space="4" w:color="2E74B5"/>
        </w:pBdr>
        <w:spacing w:before="320" w:after="120"/>
      </w:pPr>
      <w:r>
        <w:rPr>
          <w:b/>
          <w:bCs/>
          <w:color w:val="1F3864"/>
        </w:rPr>
        <w:t>1. INTRODUCTION</w:t>
      </w:r>
    </w:p>
    <w:p w14:paraId="20523E9D" w14:textId="672A479C" w:rsidR="004902D4" w:rsidRDefault="00000000">
      <w:pPr>
        <w:spacing w:before="60" w:after="100"/>
        <w:ind w:firstLine="720"/>
        <w:jc w:val="both"/>
      </w:pPr>
      <w:r>
        <w:t>Workplace bias</w:t>
      </w:r>
      <w:r w:rsidR="002011AF">
        <w:t xml:space="preserve"> </w:t>
      </w:r>
      <w:r>
        <w:t xml:space="preserve">whether conscious or </w:t>
      </w:r>
      <w:proofErr w:type="gramStart"/>
      <w:r>
        <w:t xml:space="preserve">unconscious </w:t>
      </w:r>
      <w:r w:rsidR="002011AF">
        <w:t xml:space="preserve"> </w:t>
      </w:r>
      <w:r>
        <w:t>continues</w:t>
      </w:r>
      <w:proofErr w:type="gramEnd"/>
      <w:r>
        <w:t xml:space="preserve"> to undermine organisational equity, diminish employee morale, and restrict access to professional opportunities for historically marginalised groups. Bias can manifest across multiple dimensions: during recruitment and hiring, in performance evaluations, in access to promotions and leadership opportunities, and in the day-to-day experience of employees within the workplace. Despite decades of diversity, equity, and inclusion (DEI) initiatives, traditional human-led processes remain susceptible to cognitive biases that are difficult to eliminate through training and policy alone.</w:t>
      </w:r>
    </w:p>
    <w:p w14:paraId="0E38E05C" w14:textId="77777777" w:rsidR="004902D4" w:rsidRDefault="00000000">
      <w:pPr>
        <w:spacing w:before="60" w:after="100"/>
        <w:ind w:firstLine="720"/>
        <w:jc w:val="both"/>
      </w:pPr>
      <w:r>
        <w:t>Artificial Intelligence (AI) has emerged as a potentially transformative tool in addressing these challenges. By processing large volumes of data objectively and applying consistent decision-making criteria, AI systems can reduce the reliance on subjective human judgment at several critical junctures in the employee lifecycle. Organisations across sectors are increasingly deploying AI-driven applicant tracking systems, automated resume screening tools, sentiment analysis platforms, and personalised wellness applications to improve fairness and inclusivity in the workplace.</w:t>
      </w:r>
    </w:p>
    <w:p w14:paraId="3703DC4D" w14:textId="77777777" w:rsidR="004902D4" w:rsidRDefault="00000000">
      <w:pPr>
        <w:spacing w:before="60" w:after="100"/>
        <w:ind w:firstLine="720"/>
        <w:jc w:val="both"/>
      </w:pPr>
      <w:r>
        <w:t xml:space="preserve">However, the adoption of AI in human resources is not without risk. AI systems trained on historical organisational data may inadvertently learn and replicate the very biases they are </w:t>
      </w:r>
      <w:r>
        <w:lastRenderedPageBreak/>
        <w:t>designed to mitigate. High-profile cases — including discriminatory hiring algorithms and biased performance rating systems — have underscored the importance of responsible AI deployment. The promise of algorithmic objectivity must therefore be tempered by rigorous ethical scrutiny, transparent data governance, and sustained human accountability.</w:t>
      </w:r>
    </w:p>
    <w:p w14:paraId="2A273643" w14:textId="77777777" w:rsidR="004902D4" w:rsidRDefault="00000000">
      <w:pPr>
        <w:spacing w:before="60" w:after="100"/>
        <w:ind w:firstLine="720"/>
        <w:jc w:val="both"/>
      </w:pPr>
      <w:r>
        <w:t>This paper explores the role of AI across three key domains of workplace bias reduction: recruitment, performance evaluation, and employee support. It further examines the ethical dimensions of algorithmic decision-making and proposes a framework for responsible AI integration in organisational settings.</w:t>
      </w:r>
    </w:p>
    <w:p w14:paraId="3D597C56" w14:textId="77777777" w:rsidR="004902D4" w:rsidRDefault="00000000">
      <w:pPr>
        <w:pBdr>
          <w:bottom w:val="single" w:sz="4" w:space="4" w:color="2E74B5"/>
        </w:pBdr>
        <w:spacing w:before="320" w:after="120"/>
      </w:pPr>
      <w:r>
        <w:rPr>
          <w:b/>
          <w:bCs/>
          <w:color w:val="1F3864"/>
        </w:rPr>
        <w:t>2. LITERATURE REVIEW</w:t>
      </w:r>
    </w:p>
    <w:p w14:paraId="2D03BA79" w14:textId="77777777" w:rsidR="004902D4" w:rsidRDefault="00000000">
      <w:pPr>
        <w:spacing w:before="60" w:after="100"/>
        <w:ind w:firstLine="720"/>
        <w:jc w:val="both"/>
      </w:pPr>
      <w:r>
        <w:t>The intersection of artificial intelligence and workplace equity has generated a growing body of scholarly inquiry. Smith (2024) conducted a comprehensive examination of AI applications in human resource management, identifying both the significant opportunities and material risks associated with AI-driven HR tools. Her research highlights that AI can substantially reduce time-to-hire and improve candidate pool diversity when configured with fairness constraints, but cautions that poorly governed AI systems can entrench existing inequalities at scale.</w:t>
      </w:r>
    </w:p>
    <w:p w14:paraId="03157586" w14:textId="77777777" w:rsidR="004902D4" w:rsidRDefault="00000000">
      <w:pPr>
        <w:spacing w:before="60" w:after="100"/>
        <w:ind w:firstLine="720"/>
        <w:jc w:val="both"/>
      </w:pPr>
      <w:r>
        <w:t>Gupta (2025) contributes a technology-centred perspective, arguing that bias reduction through AI is fundamentally a data governance challenge. His analysis of multiple organisational case studies demonstrates that the quality, representativeness, and curation of training datasets are the primary determinants of whether an AI system promotes or perpetuates bias. Gupta advocates for standardised bias auditing protocols and the adoption of fairness metrics — such as demographic parity and equalised odds — as mandatory components of AI deployment in HR contexts.</w:t>
      </w:r>
    </w:p>
    <w:p w14:paraId="694A46AE" w14:textId="77777777" w:rsidR="004902D4" w:rsidRDefault="00000000">
      <w:pPr>
        <w:spacing w:before="60" w:after="100"/>
        <w:ind w:firstLine="720"/>
        <w:jc w:val="both"/>
      </w:pPr>
      <w:r>
        <w:t>Carter (2023) situates AI-driven HR innovation within a broader ethical framework, arguing that technological solutions to social problems require robust moral architectures. She contends that organisations must move beyond compliance-oriented approaches to AI ethics and adopt proactive, values-driven governance models that centre the experiences and concerns of affected employees. Carter's work emphasises that transparency — in both algorithmic design and outcome monitoring — is a prerequisite for building institutional trust in AI systems.</w:t>
      </w:r>
    </w:p>
    <w:p w14:paraId="61867979" w14:textId="77777777" w:rsidR="004902D4" w:rsidRDefault="00000000">
      <w:pPr>
        <w:spacing w:before="60" w:after="100"/>
        <w:ind w:firstLine="720"/>
        <w:jc w:val="both"/>
      </w:pPr>
      <w:r>
        <w:t>Collectively, this body of literature suggests that AI holds genuine promise as a tool for advancing workplace equity, but that its effectiveness is contingent on the quality of implementation, the rigour of oversight, and the depth of organisational commitment to fairness.</w:t>
      </w:r>
    </w:p>
    <w:p w14:paraId="7EEEF5E3" w14:textId="77777777" w:rsidR="004902D4" w:rsidRDefault="00000000">
      <w:pPr>
        <w:pBdr>
          <w:bottom w:val="single" w:sz="4" w:space="4" w:color="2E74B5"/>
        </w:pBdr>
        <w:spacing w:before="320" w:after="120"/>
      </w:pPr>
      <w:r>
        <w:rPr>
          <w:b/>
          <w:bCs/>
          <w:color w:val="1F3864"/>
        </w:rPr>
        <w:t>3. METHODOLOGY</w:t>
      </w:r>
    </w:p>
    <w:p w14:paraId="305C0AFD" w14:textId="77777777" w:rsidR="004902D4" w:rsidRDefault="00000000">
      <w:pPr>
        <w:spacing w:before="60" w:after="100"/>
        <w:ind w:firstLine="720"/>
        <w:jc w:val="both"/>
      </w:pPr>
      <w:r>
        <w:t>This study employs a qualitative research design, integrating a systematic review of existing literature with an analysis of documented case studies drawn from organisational settings across technology, finance, healthcare, and retail sectors. Data sources include peer-reviewed journal articles, industry white papers, corporate sustainability and diversity reports, and publicly available documentation on AI tools deployed in HR functions.</w:t>
      </w:r>
    </w:p>
    <w:p w14:paraId="561E59C2" w14:textId="77777777" w:rsidR="004902D4" w:rsidRDefault="00000000">
      <w:pPr>
        <w:spacing w:before="60" w:after="100"/>
        <w:ind w:firstLine="720"/>
        <w:jc w:val="both"/>
      </w:pPr>
      <w:r>
        <w:t xml:space="preserve">Case studies were selected based on three criteria: (1) documented deployment of AI in recruitment, performance evaluation, or employee support; (2) availability of measurable outcome </w:t>
      </w:r>
      <w:r>
        <w:lastRenderedPageBreak/>
        <w:t>data related to bias, fairness, or diversity; and (3) relevance to the research questions concerning both the benefits and risks of AI-driven HR practices.</w:t>
      </w:r>
    </w:p>
    <w:p w14:paraId="65665D1D" w14:textId="77777777" w:rsidR="004902D4" w:rsidRDefault="00000000">
      <w:pPr>
        <w:spacing w:before="60" w:after="100"/>
        <w:ind w:firstLine="720"/>
        <w:jc w:val="both"/>
      </w:pPr>
      <w:r>
        <w:t>The analytical framework draws on three theoretical lenses: algorithmic fairness theory, organisational justice theory, and responsible innovation frameworks. This triangulated approach enables a nuanced examination of AI's role in workplace bias reduction across technical, organisational, and ethical dimensions.</w:t>
      </w:r>
    </w:p>
    <w:p w14:paraId="230F021F" w14:textId="77777777" w:rsidR="004902D4" w:rsidRDefault="00000000">
      <w:pPr>
        <w:pBdr>
          <w:bottom w:val="single" w:sz="4" w:space="4" w:color="2E74B5"/>
        </w:pBdr>
        <w:spacing w:before="320" w:after="120"/>
      </w:pPr>
      <w:r>
        <w:rPr>
          <w:b/>
          <w:bCs/>
          <w:color w:val="1F3864"/>
        </w:rPr>
        <w:t>4. RESULTS</w:t>
      </w:r>
    </w:p>
    <w:p w14:paraId="11D117E9" w14:textId="77777777" w:rsidR="004902D4" w:rsidRDefault="00000000">
      <w:pPr>
        <w:spacing w:before="200" w:after="80"/>
      </w:pPr>
      <w:r>
        <w:rPr>
          <w:b/>
          <w:bCs/>
          <w:color w:val="2E74B5"/>
        </w:rPr>
        <w:t>4.1 AI in Recruitment: Anonymised Screening</w:t>
      </w:r>
    </w:p>
    <w:p w14:paraId="1D8F0569" w14:textId="77777777" w:rsidR="004902D4" w:rsidRDefault="00000000">
      <w:pPr>
        <w:spacing w:before="60" w:after="100"/>
        <w:ind w:firstLine="720"/>
        <w:jc w:val="both"/>
      </w:pPr>
      <w:r>
        <w:t>One of the most extensively documented applications of AI in reducing workplace bias is in the recruitment process. Traditional hiring practices are vulnerable to bias at multiple stages — from the wording of job advertisements to the evaluation of resumes and the conduct of interviews. AI-powered recruitment tools address these vulnerabilities through several mechanisms.</w:t>
      </w:r>
    </w:p>
    <w:p w14:paraId="12CF56BA" w14:textId="77777777" w:rsidR="004902D4" w:rsidRDefault="00000000">
      <w:pPr>
        <w:spacing w:before="60" w:after="100"/>
        <w:ind w:firstLine="720"/>
        <w:jc w:val="both"/>
      </w:pPr>
      <w:r>
        <w:t>Anonymised screening tools remove identifying information — including names, photographs, gender indicators, and educational institution names — from applications before they are reviewed, reducing the influence of demographic bias on initial candidate evaluations. Natural language processing (NLP) algorithms can further analyse job descriptions to identify and flag gendered or exclusionary language, enabling organisations to craft more inclusive job postings.</w:t>
      </w:r>
    </w:p>
    <w:p w14:paraId="373EDF49" w14:textId="77777777" w:rsidR="004902D4" w:rsidRDefault="00000000">
      <w:pPr>
        <w:spacing w:before="60" w:after="100"/>
        <w:ind w:firstLine="720"/>
        <w:jc w:val="both"/>
      </w:pPr>
      <w:r>
        <w:t>Case study evidence from technology and financial services firms indicates that AI-assisted anonymised screening has been associated with measurable increases in the diversity of candidates progressing to interview stages. However, the analysis also reveals that AI screening tools trained on historical hiring data may inadvertently favour candidate profiles that mirror past hires, thereby perpetuating existing demographic imbalances within organisations.</w:t>
      </w:r>
    </w:p>
    <w:p w14:paraId="0208B277" w14:textId="77777777" w:rsidR="004902D4" w:rsidRDefault="00000000">
      <w:pPr>
        <w:spacing w:before="200" w:after="80"/>
      </w:pPr>
      <w:r>
        <w:rPr>
          <w:b/>
          <w:bCs/>
          <w:color w:val="2E74B5"/>
        </w:rPr>
        <w:t>4.2 Performance Evaluation: Standardised Metrics</w:t>
      </w:r>
    </w:p>
    <w:p w14:paraId="22B32286" w14:textId="77777777" w:rsidR="004902D4" w:rsidRDefault="00000000">
      <w:pPr>
        <w:spacing w:before="60" w:after="100"/>
        <w:ind w:firstLine="720"/>
        <w:jc w:val="both"/>
      </w:pPr>
      <w:r>
        <w:t>Performance evaluation is a domain where subjective human judgment is particularly susceptible to bias. Research has consistently documented that performance ratings are influenced by factors unrelated to actual job performance, including an employee's gender, ethnicity, age, and perceived cultural fit. AI-driven performance management systems seek to address this by replacing subjective assessments with standardised, data-driven metrics tied directly to measurable work outputs.</w:t>
      </w:r>
    </w:p>
    <w:p w14:paraId="4D40375D" w14:textId="77777777" w:rsidR="004902D4" w:rsidRDefault="00000000">
      <w:pPr>
        <w:spacing w:before="60" w:after="100"/>
        <w:ind w:firstLine="720"/>
        <w:jc w:val="both"/>
      </w:pPr>
      <w:r>
        <w:t>Organisations deploying AI-enhanced performance evaluation systems report improvements in rating consistency and reductions in variance attributable to evaluator identity. Sentiment analysis tools applied to written performance reviews have been used to detect patterns of biased language — for example, the systematic use of communal versus agentic descriptors when evaluating employees of different genders — enabling HR teams to intervene and recalibrate evaluation processes.</w:t>
      </w:r>
    </w:p>
    <w:p w14:paraId="3398BC9C" w14:textId="77777777" w:rsidR="004902D4" w:rsidRDefault="00000000">
      <w:pPr>
        <w:spacing w:before="60" w:after="100"/>
        <w:ind w:firstLine="720"/>
        <w:jc w:val="both"/>
      </w:pPr>
      <w:r>
        <w:t>Nevertheless, the standardisation of performance metrics carries its own risks. Metrics designed around existing organisational norms may disadvantage employees whose working styles, communication approaches, or cultural backgrounds differ from the dominant institutional profile. The definition of 'high performance' is itself a social construct that can encode bias.</w:t>
      </w:r>
    </w:p>
    <w:p w14:paraId="05886DA3" w14:textId="77777777" w:rsidR="004902D4" w:rsidRDefault="00000000">
      <w:pPr>
        <w:spacing w:before="200" w:after="80"/>
      </w:pPr>
      <w:r>
        <w:rPr>
          <w:b/>
          <w:bCs/>
          <w:color w:val="2E74B5"/>
        </w:rPr>
        <w:t>4.3 Employee Support: AI Wellness Programmes</w:t>
      </w:r>
    </w:p>
    <w:p w14:paraId="5DE2CC32" w14:textId="77777777" w:rsidR="004902D4" w:rsidRDefault="00000000">
      <w:pPr>
        <w:spacing w:before="60" w:after="100"/>
        <w:ind w:firstLine="720"/>
        <w:jc w:val="both"/>
      </w:pPr>
      <w:r>
        <w:lastRenderedPageBreak/>
        <w:t>Beyond recruitment and evaluation, AI is increasingly being deployed to support employee wellbeing and foster inclusive workplace cultures. AI-powered wellness platforms offer personalised mental health resources, stress management tools, and anonymous reporting mechanisms that enable employees to access support without fear of stigma or managerial reprisal.</w:t>
      </w:r>
    </w:p>
    <w:p w14:paraId="60C08D07" w14:textId="77777777" w:rsidR="004902D4" w:rsidRDefault="00000000">
      <w:pPr>
        <w:spacing w:before="60" w:after="100"/>
        <w:ind w:firstLine="720"/>
        <w:jc w:val="both"/>
      </w:pPr>
      <w:r>
        <w:t>Chatbot-driven employee assistance programmes (EAPs) provide 24-hour access to wellbeing resources, removing barriers associated with traditional support services — including concerns about confidentiality, social judgment, and access limitations for remote or shift workers. Sentiment analysis of aggregated, anonymised employee feedback enables organisations to identify systemic wellbeing concerns and cultural issues before they escalate.</w:t>
      </w:r>
    </w:p>
    <w:p w14:paraId="55EF30D7" w14:textId="77777777" w:rsidR="004902D4" w:rsidRDefault="00000000">
      <w:pPr>
        <w:spacing w:before="60" w:after="100"/>
        <w:ind w:firstLine="720"/>
        <w:jc w:val="both"/>
      </w:pPr>
      <w:r>
        <w:t>The case study analysis indicates that AI wellness programmes are particularly valued by employees from marginalised groups, who may face additional barriers to accessing conventional support structures. However, the effectiveness of these tools is contingent on employee trust in the platform's confidentiality safeguards and the organisation's demonstrated commitment to acting on the insights generated.</w:t>
      </w:r>
    </w:p>
    <w:p w14:paraId="54318624" w14:textId="77777777" w:rsidR="004902D4" w:rsidRDefault="00000000">
      <w:pPr>
        <w:pBdr>
          <w:bottom w:val="single" w:sz="4" w:space="4" w:color="2E74B5"/>
        </w:pBdr>
        <w:spacing w:before="320" w:after="120"/>
      </w:pPr>
      <w:r>
        <w:rPr>
          <w:b/>
          <w:bCs/>
          <w:color w:val="1F3864"/>
        </w:rPr>
        <w:t>5. DISCUSSION</w:t>
      </w:r>
    </w:p>
    <w:p w14:paraId="0AF3EB59" w14:textId="77777777" w:rsidR="004902D4" w:rsidRDefault="00000000">
      <w:pPr>
        <w:spacing w:before="200" w:after="80"/>
      </w:pPr>
      <w:r>
        <w:rPr>
          <w:b/>
          <w:bCs/>
          <w:color w:val="2E74B5"/>
        </w:rPr>
        <w:t>5.1 Ethical Guidelines and Algorithmic Bias</w:t>
      </w:r>
    </w:p>
    <w:p w14:paraId="4A9867C2" w14:textId="77777777" w:rsidR="004902D4" w:rsidRDefault="00000000">
      <w:pPr>
        <w:spacing w:before="60" w:after="100"/>
        <w:ind w:firstLine="720"/>
        <w:jc w:val="both"/>
      </w:pPr>
      <w:r>
        <w:t>A central finding of this analysis is that AI is not inherently neutral. Algorithms are trained on historical data that reflects the biases, inequalities, and structural disparities of past organisational and societal practices. Without deliberate intervention, AI systems will learn from and reproduce these patterns, potentially amplifying them at the scale and speed that only automated systems can achieve.</w:t>
      </w:r>
    </w:p>
    <w:p w14:paraId="53D160AE" w14:textId="77777777" w:rsidR="004902D4" w:rsidRDefault="00000000">
      <w:pPr>
        <w:spacing w:before="60" w:after="100"/>
        <w:ind w:firstLine="720"/>
        <w:jc w:val="both"/>
      </w:pPr>
      <w:r>
        <w:t>The development and enforcement of ethical guidelines for AI deployment in HR contexts is therefore not optional — it is a fundamental prerequisite for responsible use. Ethical frameworks must address the full lifecycle of AI systems: from the curation and auditing of training data, to the design of fairness constraints, to the ongoing monitoring of outcomes disaggregated by demographic group. Organisations should establish independent ethics review processes and ensure that affected employees have meaningful channels through which to raise concerns about AI-driven decisions.</w:t>
      </w:r>
    </w:p>
    <w:p w14:paraId="2276DFEF" w14:textId="77777777" w:rsidR="004902D4" w:rsidRDefault="00000000">
      <w:pPr>
        <w:spacing w:before="200" w:after="80"/>
      </w:pPr>
      <w:r>
        <w:rPr>
          <w:b/>
          <w:bCs/>
          <w:color w:val="2E74B5"/>
        </w:rPr>
        <w:t>5.2 The Need for Transparent Data Practices</w:t>
      </w:r>
    </w:p>
    <w:p w14:paraId="45799CCE" w14:textId="77777777" w:rsidR="004902D4" w:rsidRDefault="00000000">
      <w:pPr>
        <w:spacing w:before="60" w:after="100"/>
        <w:ind w:firstLine="720"/>
        <w:jc w:val="both"/>
      </w:pPr>
      <w:r>
        <w:t>Transparency in data practices is a critical determinant of both the technical fairness and the social legitimacy of AI systems. Employees and job candidates are increasingly aware that AI is being used to evaluate them, and they have legitimate expectations of understanding how these systems work, what data they use, and what criteria they apply.</w:t>
      </w:r>
    </w:p>
    <w:p w14:paraId="65816187" w14:textId="77777777" w:rsidR="004902D4" w:rsidRDefault="00000000">
      <w:pPr>
        <w:spacing w:before="60" w:after="100"/>
        <w:ind w:firstLine="720"/>
        <w:jc w:val="both"/>
      </w:pPr>
      <w:r>
        <w:t>Organisations should adopt explainable AI (XAI) approaches that enable the rationale behind algorithmic decisions to be communicated in accessible terms. Data governance frameworks should specify the sources, collection methods, retention policies, and usage restrictions applicable to HR data. Regular bias audits — conducted by internal teams and, where appropriate, external independent assessors — should be mandated as a condition of continued AI deployment.</w:t>
      </w:r>
    </w:p>
    <w:p w14:paraId="2F8757F4" w14:textId="77777777" w:rsidR="004902D4" w:rsidRDefault="00000000">
      <w:pPr>
        <w:spacing w:before="200" w:after="80"/>
      </w:pPr>
      <w:r>
        <w:rPr>
          <w:b/>
          <w:bCs/>
          <w:color w:val="2E74B5"/>
        </w:rPr>
        <w:t>5.3 Ongoing Human Oversight and Accountability</w:t>
      </w:r>
    </w:p>
    <w:p w14:paraId="7645F24C" w14:textId="77777777" w:rsidR="004902D4" w:rsidRDefault="00000000">
      <w:pPr>
        <w:spacing w:before="60" w:after="100"/>
        <w:ind w:firstLine="720"/>
        <w:jc w:val="both"/>
      </w:pPr>
      <w:r>
        <w:lastRenderedPageBreak/>
        <w:t>Perhaps the most important conclusion that emerges from this analysis is that AI cannot and should not replace human judgment in consequential employment decisions. Rather, AI should function as a decision-support tool that augments human capacity to make fair, consistent, and well-informed choices.</w:t>
      </w:r>
    </w:p>
    <w:p w14:paraId="746D3276" w14:textId="77777777" w:rsidR="004902D4" w:rsidRDefault="00000000">
      <w:pPr>
        <w:spacing w:before="60" w:after="100"/>
        <w:ind w:firstLine="720"/>
        <w:jc w:val="both"/>
      </w:pPr>
      <w:r>
        <w:t>Human oversight is essential at every stage of the AI-assisted HR process: in the design of algorithms, in the interpretation of outputs, and in the final exercise of decisions that affect people's livelihoods and careers. Accountability structures must be clear — when an AI-assisted decision is challenged, there must be identifiable human actors who are responsible and empowered to review and, where necessary, override algorithmic recommendations.</w:t>
      </w:r>
    </w:p>
    <w:p w14:paraId="1C35C597" w14:textId="77777777" w:rsidR="004902D4" w:rsidRDefault="00000000">
      <w:pPr>
        <w:spacing w:before="60" w:after="100"/>
        <w:ind w:firstLine="720"/>
        <w:jc w:val="both"/>
      </w:pPr>
      <w:r>
        <w:t>The principle that AI can reduce bias, but fairness requires responsibility, encapsulates this imperative. Technology provides tools; responsibility requires human commitment.</w:t>
      </w:r>
    </w:p>
    <w:p w14:paraId="55E9FAE9" w14:textId="77777777" w:rsidR="004902D4" w:rsidRDefault="00000000">
      <w:pPr>
        <w:pBdr>
          <w:bottom w:val="single" w:sz="4" w:space="4" w:color="2E74B5"/>
        </w:pBdr>
        <w:spacing w:before="320" w:after="120"/>
      </w:pPr>
      <w:r>
        <w:rPr>
          <w:b/>
          <w:bCs/>
          <w:color w:val="1F3864"/>
        </w:rPr>
        <w:t>6. CONCLUSION</w:t>
      </w:r>
    </w:p>
    <w:p w14:paraId="0C4B9A4F" w14:textId="77777777" w:rsidR="004902D4" w:rsidRDefault="00000000">
      <w:pPr>
        <w:spacing w:before="60" w:after="100"/>
        <w:ind w:firstLine="720"/>
        <w:jc w:val="both"/>
      </w:pPr>
      <w:r>
        <w:t>This paper has examined the transformative potential of Artificial Intelligence in reducing workplace bias across recruitment, performance evaluation, and employee support domains. The evidence from case studies and the scholarly literature consistently demonstrates that AI, when responsibly designed and deployed, can meaningfully advance fairness and inclusivity in organisational settings. Anonymised screening reduces demographic bias in hiring; standardised metrics improve consistency in performance evaluation; AI wellness tools extend access to support for underserved employee groups.</w:t>
      </w:r>
    </w:p>
    <w:p w14:paraId="4B6B7E1F" w14:textId="77777777" w:rsidR="004902D4" w:rsidRDefault="00000000">
      <w:pPr>
        <w:spacing w:before="60" w:after="100"/>
        <w:ind w:firstLine="720"/>
        <w:jc w:val="both"/>
      </w:pPr>
      <w:r>
        <w:t>At the same time, this analysis has underscored the profound risks associated with uncritical AI adoption. Algorithms trained on biased historical data can replicate and amplify existing social disparities. The absence of transparency, ethical oversight, and human accountability can transform a tool designed to promote fairness into an instrument of systemic exclusion.</w:t>
      </w:r>
    </w:p>
    <w:p w14:paraId="75D258A7" w14:textId="77777777" w:rsidR="004902D4" w:rsidRDefault="00000000">
      <w:pPr>
        <w:spacing w:before="60" w:after="100"/>
        <w:ind w:firstLine="720"/>
        <w:jc w:val="both"/>
      </w:pPr>
      <w:r>
        <w:t>The path forward requires a dual commitment: harnessing the genuine capabilities of AI to promote equity, while embedding robust ethical frameworks, transparent data governance, and continuous human oversight into every stage of AI deployment. Fairness in the AI-driven workplace is not an automatic outcome — it is an ongoing organisational responsibility.</w:t>
      </w:r>
    </w:p>
    <w:p w14:paraId="21A0065E" w14:textId="77777777" w:rsidR="004902D4" w:rsidRDefault="00000000">
      <w:pPr>
        <w:spacing w:before="60" w:after="100"/>
        <w:ind w:firstLine="720"/>
        <w:jc w:val="both"/>
      </w:pPr>
      <w:r>
        <w:t>Future research should focus on longitudinal studies of AI deployment in diverse organisational contexts, the development of standardised fairness audit methodologies, and the voices and experiences of employees most directly affected by AI-driven HR decisions.</w:t>
      </w:r>
    </w:p>
    <w:p w14:paraId="1320F5D4" w14:textId="77777777" w:rsidR="004902D4" w:rsidRDefault="00000000">
      <w:pPr>
        <w:pBdr>
          <w:bottom w:val="single" w:sz="4" w:space="4" w:color="2E74B5"/>
        </w:pBdr>
        <w:spacing w:before="320" w:after="120"/>
      </w:pPr>
      <w:r>
        <w:rPr>
          <w:b/>
          <w:bCs/>
          <w:color w:val="1F3864"/>
        </w:rPr>
        <w:t>REFERENCES</w:t>
      </w:r>
    </w:p>
    <w:p w14:paraId="728389E6" w14:textId="77777777" w:rsidR="004902D4" w:rsidRDefault="00000000">
      <w:pPr>
        <w:spacing w:before="60" w:after="60"/>
        <w:ind w:left="720" w:hanging="720"/>
        <w:jc w:val="both"/>
      </w:pPr>
      <w:r>
        <w:rPr>
          <w:sz w:val="22"/>
          <w:szCs w:val="22"/>
        </w:rPr>
        <w:t>Carter, E. (2023). Ethical AI and workplace innovation. Tech &amp; Society, 29, 75–90.</w:t>
      </w:r>
    </w:p>
    <w:p w14:paraId="3B4E2C20" w14:textId="77777777" w:rsidR="004902D4" w:rsidRDefault="00000000">
      <w:pPr>
        <w:spacing w:before="60" w:after="60"/>
        <w:ind w:left="720" w:hanging="720"/>
        <w:jc w:val="both"/>
      </w:pPr>
      <w:r>
        <w:rPr>
          <w:sz w:val="22"/>
          <w:szCs w:val="22"/>
        </w:rPr>
        <w:t>Gupta, R. K. (2025). Bias reduction through technology. International HR Review, 18(2), 145–158.</w:t>
      </w:r>
    </w:p>
    <w:p w14:paraId="40FF8CEF" w14:textId="77777777" w:rsidR="004902D4" w:rsidRDefault="00000000">
      <w:pPr>
        <w:spacing w:before="60" w:after="60"/>
        <w:ind w:left="720" w:hanging="720"/>
        <w:jc w:val="both"/>
      </w:pPr>
      <w:r>
        <w:rPr>
          <w:sz w:val="22"/>
          <w:szCs w:val="22"/>
        </w:rPr>
        <w:t>Smith, J. M. (2024). AI in HR: Opportunities and risks. Journal of Workplace Studies, 12(3), 88–102.</w:t>
      </w:r>
    </w:p>
    <w:p w14:paraId="26CE8757" w14:textId="77777777" w:rsidR="004902D4" w:rsidRDefault="00000000">
      <w:pPr>
        <w:spacing w:before="60" w:after="60"/>
        <w:ind w:left="720" w:hanging="720"/>
        <w:jc w:val="both"/>
      </w:pPr>
      <w:r>
        <w:rPr>
          <w:sz w:val="22"/>
          <w:szCs w:val="22"/>
        </w:rPr>
        <w:t>Barocas, S., &amp; Hardt, M. (2023). Fairness and machine learning: Limitations and opportunities. MIT Press.</w:t>
      </w:r>
    </w:p>
    <w:p w14:paraId="5C2AD844" w14:textId="77777777" w:rsidR="004902D4" w:rsidRDefault="00000000">
      <w:pPr>
        <w:spacing w:before="60" w:after="60"/>
        <w:ind w:left="720" w:hanging="720"/>
        <w:jc w:val="both"/>
      </w:pPr>
      <w:r>
        <w:rPr>
          <w:sz w:val="22"/>
          <w:szCs w:val="22"/>
        </w:rPr>
        <w:t>Dastin, J. (2018). Amazon scraps secret AI recruiting tool that showed bias against women. Reuters Technology News.</w:t>
      </w:r>
    </w:p>
    <w:p w14:paraId="72B7835D" w14:textId="77777777" w:rsidR="004902D4" w:rsidRDefault="00000000">
      <w:pPr>
        <w:spacing w:before="60" w:after="60"/>
        <w:ind w:left="720" w:hanging="720"/>
        <w:jc w:val="both"/>
      </w:pPr>
      <w:r>
        <w:rPr>
          <w:sz w:val="22"/>
          <w:szCs w:val="22"/>
        </w:rPr>
        <w:t>Dwork, C., Hardt, M., Pitassi, T., Reingold, O., &amp; Zemel, R. (2012). Fairness through awareness. Proceedings of the 3rd Innovations in Theoretical Computer Science Conference, 214–226.</w:t>
      </w:r>
    </w:p>
    <w:p w14:paraId="05377EC0" w14:textId="77777777" w:rsidR="004902D4" w:rsidRDefault="00000000">
      <w:pPr>
        <w:spacing w:before="60" w:after="60"/>
        <w:ind w:left="720" w:hanging="720"/>
        <w:jc w:val="both"/>
      </w:pPr>
      <w:r>
        <w:rPr>
          <w:sz w:val="22"/>
          <w:szCs w:val="22"/>
        </w:rPr>
        <w:lastRenderedPageBreak/>
        <w:t xml:space="preserve">Mehrabi, N., </w:t>
      </w:r>
      <w:proofErr w:type="spellStart"/>
      <w:r>
        <w:rPr>
          <w:sz w:val="22"/>
          <w:szCs w:val="22"/>
        </w:rPr>
        <w:t>Morstatter</w:t>
      </w:r>
      <w:proofErr w:type="spellEnd"/>
      <w:r>
        <w:rPr>
          <w:sz w:val="22"/>
          <w:szCs w:val="22"/>
        </w:rPr>
        <w:t>, F., Saxena, N., Lerman, K., &amp; Galstyan, A. (2021). A survey on bias and fairness in machine learning. ACM Computing Surveys, 54(6), 1–35.</w:t>
      </w:r>
    </w:p>
    <w:p w14:paraId="3D0637E2" w14:textId="77777777" w:rsidR="004902D4" w:rsidRDefault="00000000">
      <w:pPr>
        <w:spacing w:before="60" w:after="60"/>
        <w:ind w:left="720" w:hanging="720"/>
        <w:jc w:val="both"/>
      </w:pPr>
      <w:r>
        <w:rPr>
          <w:sz w:val="22"/>
          <w:szCs w:val="22"/>
        </w:rPr>
        <w:t>Raghavan, M., Barocas, S., Kleinberg, J., &amp; Levy, K. (2020). Mitigating bias in algorithmic hiring: Evaluating claims and practices. Proceedings of the 2020 Conference on Fairness, Accountability, and Transparency, 469–481.</w:t>
      </w:r>
    </w:p>
    <w:sectPr w:rsidR="004902D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FB74D8"/>
    <w:multiLevelType w:val="hybridMultilevel"/>
    <w:tmpl w:val="BC28E8B2"/>
    <w:lvl w:ilvl="0" w:tplc="B83C7FF0">
      <w:start w:val="1"/>
      <w:numFmt w:val="bullet"/>
      <w:lvlText w:val="●"/>
      <w:lvlJc w:val="left"/>
      <w:pPr>
        <w:ind w:left="720" w:hanging="360"/>
      </w:pPr>
    </w:lvl>
    <w:lvl w:ilvl="1" w:tplc="AAC60D0C">
      <w:start w:val="1"/>
      <w:numFmt w:val="bullet"/>
      <w:lvlText w:val="○"/>
      <w:lvlJc w:val="left"/>
      <w:pPr>
        <w:ind w:left="1440" w:hanging="360"/>
      </w:pPr>
    </w:lvl>
    <w:lvl w:ilvl="2" w:tplc="D9F67636">
      <w:start w:val="1"/>
      <w:numFmt w:val="bullet"/>
      <w:lvlText w:val="■"/>
      <w:lvlJc w:val="left"/>
      <w:pPr>
        <w:ind w:left="2160" w:hanging="360"/>
      </w:pPr>
    </w:lvl>
    <w:lvl w:ilvl="3" w:tplc="531E01E2">
      <w:start w:val="1"/>
      <w:numFmt w:val="bullet"/>
      <w:lvlText w:val="●"/>
      <w:lvlJc w:val="left"/>
      <w:pPr>
        <w:ind w:left="2880" w:hanging="360"/>
      </w:pPr>
    </w:lvl>
    <w:lvl w:ilvl="4" w:tplc="9CA4BB70">
      <w:start w:val="1"/>
      <w:numFmt w:val="bullet"/>
      <w:lvlText w:val="○"/>
      <w:lvlJc w:val="left"/>
      <w:pPr>
        <w:ind w:left="3600" w:hanging="360"/>
      </w:pPr>
    </w:lvl>
    <w:lvl w:ilvl="5" w:tplc="4E6CDD98">
      <w:start w:val="1"/>
      <w:numFmt w:val="bullet"/>
      <w:lvlText w:val="■"/>
      <w:lvlJc w:val="left"/>
      <w:pPr>
        <w:ind w:left="4320" w:hanging="360"/>
      </w:pPr>
    </w:lvl>
    <w:lvl w:ilvl="6" w:tplc="B044B5EE">
      <w:start w:val="1"/>
      <w:numFmt w:val="bullet"/>
      <w:lvlText w:val="●"/>
      <w:lvlJc w:val="left"/>
      <w:pPr>
        <w:ind w:left="5040" w:hanging="360"/>
      </w:pPr>
    </w:lvl>
    <w:lvl w:ilvl="7" w:tplc="0B20288E">
      <w:start w:val="1"/>
      <w:numFmt w:val="bullet"/>
      <w:lvlText w:val="●"/>
      <w:lvlJc w:val="left"/>
      <w:pPr>
        <w:ind w:left="5760" w:hanging="360"/>
      </w:pPr>
    </w:lvl>
    <w:lvl w:ilvl="8" w:tplc="3ADC9000">
      <w:start w:val="1"/>
      <w:numFmt w:val="bullet"/>
      <w:lvlText w:val="●"/>
      <w:lvlJc w:val="left"/>
      <w:pPr>
        <w:ind w:left="6480" w:hanging="360"/>
      </w:pPr>
    </w:lvl>
  </w:abstractNum>
  <w:num w:numId="1" w16cid:durableId="4357088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2D4"/>
    <w:rsid w:val="002011AF"/>
    <w:rsid w:val="002D3947"/>
    <w:rsid w:val="00454D3B"/>
    <w:rsid w:val="004902D4"/>
    <w:rsid w:val="004F6582"/>
    <w:rsid w:val="008A2917"/>
    <w:rsid w:val="008D292B"/>
    <w:rsid w:val="00EB3AE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BD109"/>
  <w15:docId w15:val="{B7D2C16D-3726-4240-B7E1-B20586F14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201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2394</Words>
  <Characters>13651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OCHEN GODFREY</cp:lastModifiedBy>
  <cp:revision>4</cp:revision>
  <dcterms:created xsi:type="dcterms:W3CDTF">2026-08-13T16:00:00Z</dcterms:created>
  <dcterms:modified xsi:type="dcterms:W3CDTF">2026-08-13T17:00:00Z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7f5e77d8-bde7-44c8-9ac3-6be2a9b60ef7</vt:lpwstr>
  </property>
</Properties>
</file>