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4C51F5B">
      <w:pPr>
        <w:pStyle w:val="style0"/>
        <w:spacing w:after="200"/>
        <w:jc w:val="center"/>
        <w:rPr/>
      </w:pPr>
      <w:r>
        <w:rPr>
          <w:rFonts w:ascii="Times New Roman" w:cs="Times New Roman" w:eastAsia="Times New Roman" w:hAnsi="Times New Roman"/>
          <w:b/>
          <w:bCs/>
          <w:sz w:val="32"/>
          <w:szCs w:val="32"/>
        </w:rPr>
        <w:t>Pre-Emptive Crop Insurance Claim Rejection Prediction using NLP and Risk Modeling: A Case Study on PMFBY (India)</w:t>
      </w:r>
    </w:p>
    <w:p w14:paraId="C427EBDA">
      <w:pPr>
        <w:pStyle w:val="style0"/>
        <w:spacing w:after="160"/>
        <w:jc w:val="center"/>
        <w:rPr/>
      </w:pPr>
      <w:r>
        <w:rPr>
          <w:rFonts w:ascii="Times New Roman" w:cs="Times New Roman" w:eastAsia="Times New Roman" w:hAnsi="Times New Roman"/>
          <w:b/>
          <w:bCs/>
          <w:sz w:val="24"/>
          <w:szCs w:val="24"/>
        </w:rPr>
        <w:t>Amaan Momin</w:t>
      </w:r>
    </w:p>
    <w:p w14:paraId="51EADD4D">
      <w:pPr>
        <w:pStyle w:val="style0"/>
        <w:spacing w:after="80"/>
        <w:jc w:val="left"/>
        <w:rPr/>
      </w:pPr>
      <w:r>
        <w:rPr>
          <w:rFonts w:ascii="Times New Roman" w:cs="Times New Roman" w:eastAsia="Times New Roman" w:hAnsi="Times New Roman"/>
          <w:b/>
          <w:bCs/>
          <w:sz w:val="24"/>
          <w:szCs w:val="24"/>
        </w:rPr>
        <w:t>Department of Data Science, SIES College of Arts, Science and Commerce</w:t>
      </w:r>
      <w:r>
        <w:rPr>
          <w:rFonts w:ascii="Times New Roman" w:cs="Times New Roman" w:eastAsia="Times New Roman" w:hAnsi="Times New Roman"/>
          <w:sz w:val="24"/>
          <w:szCs w:val="24"/>
        </w:rPr>
        <w:t xml:space="preserve">, Mumbai. </w:t>
      </w:r>
      <w:r>
        <w:rPr>
          <w:rFonts w:ascii="Times New Roman" w:cs="Times New Roman" w:eastAsia="Times New Roman" w:hAnsi="Times New Roman"/>
          <w:sz w:val="24"/>
          <w:szCs w:val="24"/>
        </w:rPr>
        <w:t>Amaan Momin, amaanmomin8@gmail.com</w:t>
      </w:r>
    </w:p>
    <w:p w14:paraId="6387C179">
      <w:pPr>
        <w:pStyle w:val="style4106"/>
        <w:keepNext/>
        <w:spacing w:before="280" w:after="140"/>
        <w:rPr/>
      </w:pPr>
      <w:r>
        <w:rPr>
          <w:rFonts w:ascii="Times New Roman" w:cs="Times New Roman" w:eastAsia="Times New Roman" w:hAnsi="Times New Roman"/>
          <w:b/>
          <w:bCs/>
          <w:sz w:val="26"/>
          <w:szCs w:val="26"/>
        </w:rPr>
        <w:t>Abstract</w:t>
      </w:r>
    </w:p>
    <w:p w14:paraId="69945CDF">
      <w:pPr>
        <w:pStyle w:val="style0"/>
        <w:spacing w:before="0" w:after="160" w:lineRule="auto" w:line="282"/>
        <w:jc w:val="both"/>
        <w:rPr/>
      </w:pPr>
      <w:r>
        <w:rPr>
          <w:rFonts w:ascii="Times New Roman" w:cs="Times New Roman" w:eastAsia="Times New Roman" w:hAnsi="Times New Roman"/>
          <w:sz w:val="24"/>
          <w:szCs w:val="24"/>
        </w:rPr>
        <w:t>Pradhan Mantri Fasal Bima Yojana (PMFBY) is India's flagship crop insurance scheme, yet official reviews and field reports repeatedly identify delayed, partial and rejected claims as a major source of farmer dissatisfaction and low uptake. Research on PMFBY is largely descriptive, while the machine-learning literature on claim denial is concentrated on health insurance in high-income settings and works on structured billing codes after a claim has been filed. This paper addresses the gap between the two. It specifies a pre-emptive, two-stage framework that estimates the probability of claim rejection at the intimation stage, before final assessment, by combining natural language processing (NLP) of farmer-submitted and officer-recorded text with a risk model built on policy, crop, calamity, timing and administrative covariates. The paper contributes (i) a rejection-driver taxonomy grounded in parliamentary, committee and field-report evidence, (ii) a multilingual NLP and risk-fusion architecture, (iii) a leakage-aware, cost-sensitive and fairness-aware evaluation protocol, and (iv) a governance design in which predictions protect farmers rather than exclude them. No empirical performance is claimed. The paper is a methodological case study that prepares a testable research programme for data that agencies could release under appropriate safeguards.</w:t>
      </w:r>
    </w:p>
    <w:p w14:paraId="C50356B4">
      <w:pPr>
        <w:pStyle w:val="style0"/>
        <w:spacing w:before="0" w:after="160" w:lineRule="auto" w:line="282"/>
        <w:jc w:val="left"/>
        <w:rPr/>
      </w:pPr>
      <w:r>
        <w:rPr>
          <w:rFonts w:ascii="Times New Roman" w:cs="Times New Roman" w:eastAsia="Times New Roman" w:hAnsi="Times New Roman"/>
          <w:b/>
          <w:bCs/>
          <w:sz w:val="24"/>
          <w:szCs w:val="24"/>
        </w:rPr>
        <w:t>Keywords:</w:t>
      </w:r>
      <w:r>
        <w:rPr>
          <w:rFonts w:ascii="Times New Roman" w:cs="Times New Roman" w:eastAsia="Times New Roman" w:hAnsi="Times New Roman"/>
          <w:sz w:val="24"/>
          <w:szCs w:val="24"/>
        </w:rPr>
        <w:t xml:space="preserve"> PMFBY, Crop Insurance, Claim Rejection Prediction, Natural Language Processing, Risk Modeling, Explainable AI</w:t>
      </w:r>
    </w:p>
    <w:p w14:paraId="F9D6BC3C">
      <w:pPr>
        <w:pStyle w:val="style4106"/>
        <w:keepNext/>
        <w:spacing w:before="280" w:after="140"/>
        <w:rPr/>
      </w:pPr>
      <w:r>
        <w:rPr>
          <w:rFonts w:ascii="Times New Roman" w:cs="Times New Roman" w:eastAsia="Times New Roman" w:hAnsi="Times New Roman"/>
          <w:b/>
          <w:bCs/>
          <w:sz w:val="26"/>
          <w:szCs w:val="26"/>
        </w:rPr>
        <w:t>1. Introduction</w:t>
      </w:r>
    </w:p>
    <w:p w14:paraId="94DF70C8">
      <w:pPr>
        <w:pStyle w:val="style4107"/>
        <w:keepNext/>
        <w:spacing w:before="200" w:after="120"/>
        <w:rPr/>
      </w:pPr>
      <w:r>
        <w:rPr>
          <w:rFonts w:ascii="Times New Roman" w:cs="Times New Roman" w:eastAsia="Times New Roman" w:hAnsi="Times New Roman"/>
          <w:b/>
          <w:bCs/>
          <w:sz w:val="24"/>
          <w:szCs w:val="24"/>
        </w:rPr>
        <w:t>1.1 Background</w:t>
      </w:r>
    </w:p>
    <w:p w14:paraId="C4AB83FF">
      <w:pPr>
        <w:pStyle w:val="style0"/>
        <w:spacing w:before="0" w:after="160" w:lineRule="auto" w:line="282"/>
        <w:jc w:val="both"/>
        <w:rPr/>
      </w:pPr>
      <w:r>
        <w:rPr>
          <w:rFonts w:ascii="Times New Roman" w:cs="Times New Roman" w:eastAsia="Times New Roman" w:hAnsi="Times New Roman"/>
          <w:sz w:val="24"/>
          <w:szCs w:val="24"/>
        </w:rPr>
        <w:t xml:space="preserve">Agriculture in India is exposed to drought, flood, hailstorm, cyclone and pest losses, and many farmers have little buffer when a season fails. Pradhan Mantri Fasal Bima Yojana (PMFBY), introduced in 2016, insures farmers against non-preventable natural risks to their crops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Claims follow a process set out in the operational guidelines, with prescribed timelines for intimation, assessment and settlement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"ref_guide" </w:instrText>
      </w:r>
      <w:r>
        <w:rPr/>
        <w:fldChar w:fldCharType="separate"/>
      </w:r>
      <w:r>
        <w:rPr>
          <w:rFonts w:ascii="Times New Roman" w:cs="Times New Roman" w:eastAsia="Times New Roman" w:hAnsi="Times New Roman"/>
          <w:color w:val="0563c1"/>
          <w:sz w:val="24"/>
          <w:szCs w:val="24"/>
          <w:u w:val="single"/>
        </w:rPr>
        <w:t>[3]</w:t>
      </w:r>
      <w:r>
        <w:rPr/>
        <w:fldChar w:fldCharType="end"/>
      </w:r>
      <w:r>
        <w:rPr>
          <w:rFonts w:ascii="Times New Roman" w:cs="Times New Roman" w:eastAsia="Times New Roman" w:hAnsi="Times New Roman"/>
          <w:sz w:val="24"/>
          <w:szCs w:val="24"/>
        </w:rPr>
        <w:t xml:space="preserve">. For localized calamities and post-harvest losses, the farmer is expected to inform the insurer or authorities within a short window, commonly 72 hours, after the event </w:t>
      </w:r>
      <w:r>
        <w:rPr/>
        <w:fldChar w:fldCharType="begin"/>
      </w:r>
      <w:r>
        <w:instrText xml:space="preserve"> HYPERLINK \l "ref_guide" </w:instrText>
      </w:r>
      <w:r>
        <w:rPr/>
        <w:fldChar w:fldCharType="separate"/>
      </w:r>
      <w:r>
        <w:rPr>
          <w:rFonts w:ascii="Times New Roman" w:cs="Times New Roman" w:eastAsia="Times New Roman" w:hAnsi="Times New Roman"/>
          <w:color w:val="0563c1"/>
          <w:sz w:val="24"/>
          <w:szCs w:val="24"/>
          <w:u w:val="single"/>
        </w:rPr>
        <w:t>[3]</w:t>
      </w:r>
      <w:r>
        <w:rPr/>
        <w:fldChar w:fldCharType="end"/>
      </w:r>
      <w:r>
        <w:rPr>
          <w:rFonts w:ascii="Times New Roman" w:cs="Times New Roman" w:eastAsia="Times New Roman" w:hAnsi="Times New Roman"/>
          <w:sz w:val="24"/>
          <w:szCs w:val="24"/>
        </w:rPr>
        <w:t>.</w:t>
      </w:r>
    </w:p>
    <w:p w14:paraId="3BC14390">
      <w:pPr>
        <w:pStyle w:val="style0"/>
        <w:spacing w:before="0" w:after="160" w:lineRule="auto" w:line="282"/>
        <w:jc w:val="both"/>
        <w:rPr/>
      </w:pPr>
      <w:r>
        <w:rPr>
          <w:rFonts w:ascii="Times New Roman" w:cs="Times New Roman" w:eastAsia="Times New Roman" w:hAnsi="Times New Roman"/>
          <w:sz w:val="24"/>
          <w:szCs w:val="24"/>
        </w:rPr>
        <w:t>Much of the day-to-day experience of PMFBY is textual: a farmer or bank officer describes a loss in a call or form, a surveyor records remarks, and a grievance officer writes a response. These records hold information that structured fields do not, yet they are not used to anticipate rejection.</w:t>
      </w:r>
    </w:p>
    <w:p w14:paraId="C0F82C9F">
      <w:pPr>
        <w:pStyle w:val="style4107"/>
        <w:keepNext/>
        <w:spacing w:before="200" w:after="120"/>
        <w:rPr/>
      </w:pPr>
      <w:r>
        <w:rPr>
          <w:rFonts w:ascii="Times New Roman" w:cs="Times New Roman" w:eastAsia="Times New Roman" w:hAnsi="Times New Roman"/>
          <w:b/>
          <w:bCs/>
          <w:sz w:val="24"/>
          <w:szCs w:val="24"/>
        </w:rPr>
        <w:t>1.2 Claim Rejection and Delay as a Documented Problem</w:t>
      </w:r>
    </w:p>
    <w:p w14:paraId="0E1B45BF">
      <w:pPr>
        <w:pStyle w:val="style0"/>
        <w:spacing w:before="0" w:after="160" w:lineRule="auto" w:line="282"/>
        <w:jc w:val="both"/>
        <w:rPr/>
      </w:pPr>
      <w:r>
        <w:rPr>
          <w:rFonts w:ascii="Times New Roman" w:cs="Times New Roman" w:eastAsia="Times New Roman" w:hAnsi="Times New Roman"/>
          <w:sz w:val="24"/>
          <w:szCs w:val="24"/>
        </w:rPr>
        <w:t xml:space="preserve">The Parliamentary Standing Committee on Agriculture, in its 2021 evaluation of PMFBY, recognised delays in claim settlement as one of the main impediments to the scheme, attributed in part to causes such as non-receipt of farmers' account details, and recommended stricter timelines for insurers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In a reply to the Rajya Sabha, the Ministry of Agriculture and Farmers Welfare acknowledged that settlement in some states was delayed for reasons that include problems with farmer data on the National Crop Insurance Portal, delayed remittance of the farmers' premium share and missing bank account details, and described a stratified grievance-redressal mechanism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xml:space="preserve">. In a separate Lok Sabha reply, the Ministry reported that a large number of grievances had been registered on its grievance platform, of which 24.96 lakh were from farmers </w:t>
      </w:r>
      <w:r>
        <w:rPr/>
        <w:fldChar w:fldCharType="begin"/>
      </w:r>
      <w:r>
        <w:instrText xml:space="preserve"> HYPERLINK \l "ref_ls" </w:instrText>
      </w:r>
      <w:r>
        <w:rPr/>
        <w:fldChar w:fldCharType="separate"/>
      </w:r>
      <w:r>
        <w:rPr>
          <w:rFonts w:ascii="Times New Roman" w:cs="Times New Roman" w:eastAsia="Times New Roman" w:hAnsi="Times New Roman"/>
          <w:color w:val="0563c1"/>
          <w:sz w:val="24"/>
          <w:szCs w:val="24"/>
          <w:u w:val="single"/>
        </w:rPr>
        <w:t>[4]</w:t>
      </w:r>
      <w:r>
        <w:rPr/>
        <w:fldChar w:fldCharType="end"/>
      </w:r>
      <w:r>
        <w:rPr>
          <w:rFonts w:ascii="Times New Roman" w:cs="Times New Roman" w:eastAsia="Times New Roman" w:hAnsi="Times New Roman"/>
          <w:sz w:val="24"/>
          <w:szCs w:val="24"/>
        </w:rPr>
        <w:t>.</w:t>
      </w:r>
    </w:p>
    <w:p w14:paraId="4FC2A4B2">
      <w:pPr>
        <w:pStyle w:val="style0"/>
        <w:spacing w:before="0" w:after="160" w:lineRule="auto" w:line="282"/>
        <w:jc w:val="both"/>
        <w:rPr/>
      </w:pPr>
      <w:r>
        <w:rPr>
          <w:rFonts w:ascii="Times New Roman" w:cs="Times New Roman" w:eastAsia="Times New Roman" w:hAnsi="Times New Roman"/>
          <w:sz w:val="24"/>
          <w:szCs w:val="24"/>
        </w:rPr>
        <w:t xml:space="preserve">District-level reports add detail on rejection specifically. In Hisar, Haryana, a district monitoring committee heard that 22,213 farmers had applied for claims, that 4,693 cases were unresolved, that many mustard-crop policies were rejected or only partly approved because of survey delays by the insurer, and that the claims of 13 farmers had been rejected because of clerical mistakes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xml:space="preserve">. In Karnal and Kaithal, farmers cited delay in settlement and earlier claim rejections as reasons for not enrolling, and only 2,218 of roughly 70,000 farmers in Karnal had registered in the rabi season reported </w:t>
      </w:r>
      <w:r>
        <w:rPr/>
        <w:fldChar w:fldCharType="begin"/>
      </w:r>
      <w:r>
        <w:instrText xml:space="preserve"> HYPERLINK \l "ref_karnal" </w:instrText>
      </w:r>
      <w:r>
        <w:rPr/>
        <w:fldChar w:fldCharType="separate"/>
      </w:r>
      <w:r>
        <w:rPr>
          <w:rFonts w:ascii="Times New Roman" w:cs="Times New Roman" w:eastAsia="Times New Roman" w:hAnsi="Times New Roman"/>
          <w:color w:val="0563c1"/>
          <w:sz w:val="24"/>
          <w:szCs w:val="24"/>
          <w:u w:val="single"/>
        </w:rPr>
        <w:t>[6]</w:t>
      </w:r>
      <w:r>
        <w:rPr/>
        <w:fldChar w:fldCharType="end"/>
      </w:r>
      <w:r>
        <w:rPr>
          <w:rFonts w:ascii="Times New Roman" w:cs="Times New Roman" w:eastAsia="Times New Roman" w:hAnsi="Times New Roman"/>
          <w:sz w:val="24"/>
          <w:szCs w:val="24"/>
        </w:rPr>
        <w:t xml:space="preserve">. A survey of 240 farmers in Haryana similarly listed delay in claim settlement among the principal constraints faced by insured farmers </w:t>
      </w:r>
      <w:r>
        <w:rPr/>
        <w:fldChar w:fldCharType="begin"/>
      </w:r>
      <w:r>
        <w:instrText xml:space="preserve"> HYPERLINK \l "ref_punia" </w:instrText>
      </w:r>
      <w:r>
        <w:rPr/>
        <w:fldChar w:fldCharType="separate"/>
      </w:r>
      <w:r>
        <w:rPr>
          <w:rFonts w:ascii="Times New Roman" w:cs="Times New Roman" w:eastAsia="Times New Roman" w:hAnsi="Times New Roman"/>
          <w:color w:val="0563c1"/>
          <w:sz w:val="24"/>
          <w:szCs w:val="24"/>
          <w:u w:val="single"/>
        </w:rPr>
        <w:t>[7]</w:t>
      </w:r>
      <w:r>
        <w:rPr/>
        <w:fldChar w:fldCharType="end"/>
      </w:r>
      <w:r>
        <w:rPr>
          <w:rFonts w:ascii="Times New Roman" w:cs="Times New Roman" w:eastAsia="Times New Roman" w:hAnsi="Times New Roman"/>
          <w:sz w:val="24"/>
          <w:szCs w:val="24"/>
        </w:rPr>
        <w:t>.</w:t>
      </w:r>
    </w:p>
    <w:p w14:paraId="5AAADBD7">
      <w:pPr>
        <w:pStyle w:val="style0"/>
        <w:spacing w:before="0" w:after="160" w:lineRule="auto" w:line="282"/>
        <w:jc w:val="both"/>
        <w:rPr/>
      </w:pPr>
      <w:r>
        <w:rPr>
          <w:rFonts w:ascii="Times New Roman" w:cs="Times New Roman" w:eastAsia="Times New Roman" w:hAnsi="Times New Roman"/>
          <w:sz w:val="24"/>
          <w:szCs w:val="24"/>
        </w:rPr>
        <w:t>A pattern emerges from these sources. Several of the reported causes, such as clerical errors, missing account details, late or incomplete intimation and mismatched farmer records, are procedural and documentary rather than meteorological. Such causes leave traces in data that exist before final assessment, which suggests that some rejections could be anticipated and prevented. This is the premise of the paper, stated as a hypothesis and not as an established finding.</w:t>
      </w:r>
    </w:p>
    <w:p w14:paraId="ABFA45CB">
      <w:pPr>
        <w:pStyle w:val="style4107"/>
        <w:keepNext/>
        <w:spacing w:before="200" w:after="120"/>
        <w:rPr/>
      </w:pPr>
      <w:r>
        <w:rPr>
          <w:rFonts w:ascii="Times New Roman" w:cs="Times New Roman" w:eastAsia="Times New Roman" w:hAnsi="Times New Roman"/>
          <w:b/>
          <w:bCs/>
          <w:sz w:val="24"/>
          <w:szCs w:val="24"/>
        </w:rPr>
        <w:t>1.3 Problem Statement</w:t>
      </w:r>
    </w:p>
    <w:p w14:paraId="B94BCD82">
      <w:pPr>
        <w:pStyle w:val="style0"/>
        <w:spacing w:before="0" w:after="160" w:lineRule="auto" w:line="282"/>
        <w:jc w:val="both"/>
        <w:rPr/>
      </w:pPr>
      <w:r>
        <w:rPr>
          <w:rFonts w:ascii="Times New Roman" w:cs="Times New Roman" w:eastAsia="Times New Roman" w:hAnsi="Times New Roman"/>
          <w:sz w:val="24"/>
          <w:szCs w:val="24"/>
        </w:rPr>
        <w:t xml:space="preserve">Existing PMFBY studies describe constraints and delays through surveys and policy reviews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"ref_punia" </w:instrText>
      </w:r>
      <w:r>
        <w:rPr/>
        <w:fldChar w:fldCharType="separate"/>
      </w:r>
      <w:r>
        <w:rPr>
          <w:rFonts w:ascii="Times New Roman" w:cs="Times New Roman" w:eastAsia="Times New Roman" w:hAnsi="Times New Roman"/>
          <w:color w:val="0563c1"/>
          <w:sz w:val="24"/>
          <w:szCs w:val="24"/>
          <w:u w:val="single"/>
        </w:rPr>
        <w:t>[7]</w:t>
      </w:r>
      <w:r>
        <w:rPr/>
        <w:fldChar w:fldCharType="end"/>
      </w:r>
      <w:r>
        <w:rPr>
          <w:rFonts w:ascii="Times New Roman" w:cs="Times New Roman" w:eastAsia="Times New Roman" w:hAnsi="Times New Roman"/>
          <w:sz w:val="24"/>
          <w:szCs w:val="24"/>
        </w:rPr>
        <w:t xml:space="preserve">, but they do not attempt to predict which individual claims are likely to be rejected. Outside agriculture, machine-learning models for claim denial exist for health insurance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4"/>
          <w:szCs w:val="24"/>
          <w:u w:val="single"/>
        </w:rPr>
        <w:t>[8]</w:t>
      </w:r>
      <w:r>
        <w:rPr/>
        <w:fldChar w:fldCharType="end"/>
      </w:r>
      <w:r>
        <w:rPr>
          <w:rFonts w:ascii="Times New Roman" w:cs="Times New Roman" w:eastAsia="Times New Roman" w:hAnsi="Times New Roman"/>
          <w:sz w:val="24"/>
          <w:szCs w:val="24"/>
        </w:rPr>
        <w:t>, but they use structured claim records from payers in a different institutional setting and do not address farmer-written, multilingual text. As a result, there is no pre-emptive decision-support approach for PMFBY that uses text and structured risk factors together to flag rejection risk early enough for the farmer, the bank or the grievance cell to act.</w:t>
      </w:r>
    </w:p>
    <w:p w14:paraId="7294D23A">
      <w:pPr>
        <w:pStyle w:val="style0"/>
        <w:spacing w:before="0" w:after="160" w:lineRule="auto" w:line="282"/>
        <w:jc w:val="both"/>
        <w:rPr/>
      </w:pPr>
      <w:r>
        <w:rPr>
          <w:rFonts w:ascii="Times New Roman" w:cs="Times New Roman" w:eastAsia="Times New Roman" w:hAnsi="Times New Roman"/>
          <w:sz w:val="24"/>
          <w:szCs w:val="24"/>
        </w:rPr>
        <w:t xml:space="preserve">A further difficulty is that predicting a rejection is not the same as judging it correct. Some rejections stem from survey delays or data errors and not from ineligibility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so a model trained naively on past outcomes could learn administrative error. The prediction must therefore prompt review and correction and never act as a gate.</w:t>
      </w:r>
    </w:p>
    <w:p w14:paraId="3A412EEB">
      <w:pPr>
        <w:pStyle w:val="style4107"/>
        <w:keepNext/>
        <w:spacing w:before="200" w:after="120"/>
        <w:rPr/>
      </w:pPr>
      <w:r>
        <w:rPr>
          <w:rFonts w:ascii="Times New Roman" w:cs="Times New Roman" w:eastAsia="Times New Roman" w:hAnsi="Times New Roman"/>
          <w:b/>
          <w:bCs/>
          <w:sz w:val="24"/>
          <w:szCs w:val="24"/>
        </w:rPr>
        <w:t>1.4 Significance of the Study</w:t>
      </w:r>
    </w:p>
    <w:p w14:paraId="9D64F538">
      <w:pPr>
        <w:pStyle w:val="style0"/>
        <w:spacing w:before="0" w:after="160" w:lineRule="auto" w:line="282"/>
        <w:jc w:val="both"/>
        <w:rPr/>
      </w:pPr>
      <w:r>
        <w:rPr>
          <w:rFonts w:ascii="Times New Roman" w:cs="Times New Roman" w:eastAsia="Times New Roman" w:hAnsi="Times New Roman"/>
          <w:sz w:val="24"/>
          <w:szCs w:val="24"/>
        </w:rPr>
        <w:t>For farmers, early warning about avoidable causes, such as a missing document or a late intimation, can turn a likely rejection into a correctly filed claim. For banks, service centres and agriculture departments, it helps prioritise limited field staff. For insurers and regulators, it offers an auditable method to study where and why claims fail. For researchers, it gives a reproducible protocol and identifies the data fields most worth releasing.</w:t>
      </w:r>
    </w:p>
    <w:p w14:paraId="31E5C3EA">
      <w:pPr>
        <w:pStyle w:val="style4106"/>
        <w:keepNext/>
        <w:spacing w:before="280" w:after="140"/>
        <w:rPr/>
      </w:pPr>
      <w:r>
        <w:rPr>
          <w:rFonts w:ascii="Times New Roman" w:cs="Times New Roman" w:eastAsia="Times New Roman" w:hAnsi="Times New Roman"/>
          <w:b/>
          <w:bCs/>
          <w:sz w:val="26"/>
          <w:szCs w:val="26"/>
        </w:rPr>
        <w:t>2. Literature Review</w:t>
      </w:r>
    </w:p>
    <w:p w14:paraId="C8ABCB10">
      <w:pPr>
        <w:pStyle w:val="style0"/>
        <w:spacing w:before="0" w:after="160" w:lineRule="auto" w:line="282"/>
        <w:jc w:val="both"/>
        <w:rPr/>
      </w:pPr>
      <w:r>
        <w:rPr>
          <w:rFonts w:ascii="Times New Roman" w:cs="Times New Roman" w:eastAsia="Times New Roman" w:hAnsi="Times New Roman"/>
          <w:sz w:val="24"/>
          <w:szCs w:val="24"/>
        </w:rPr>
        <w:t>This section reviews three strands of work: studies and official reviews of PMFBY and crop insurance in India, machine-learning research on claim denial and payer response, and NLP methods relevant to insurance text and Indian languages. Table 1 summarises the key sources and their main findings.</w:t>
      </w:r>
    </w:p>
    <w:p w14:paraId="9C01D420">
      <w:pPr>
        <w:pStyle w:val="style4107"/>
        <w:keepNext/>
        <w:spacing w:before="200" w:after="120"/>
        <w:rPr/>
      </w:pPr>
      <w:r>
        <w:rPr>
          <w:rFonts w:ascii="Times New Roman" w:cs="Times New Roman" w:eastAsia="Times New Roman" w:hAnsi="Times New Roman"/>
          <w:b/>
          <w:bCs/>
          <w:sz w:val="24"/>
          <w:szCs w:val="24"/>
        </w:rPr>
        <w:t>2.1 PMFBY and Crop Insurance in India</w:t>
      </w:r>
    </w:p>
    <w:p w14:paraId="4AEF1E68">
      <w:pPr>
        <w:pStyle w:val="style0"/>
        <w:spacing w:before="0" w:after="160" w:lineRule="auto" w:line="282"/>
        <w:jc w:val="both"/>
        <w:rPr/>
      </w:pPr>
      <w:r>
        <w:rPr>
          <w:rFonts w:ascii="Times New Roman" w:cs="Times New Roman" w:eastAsia="Times New Roman" w:hAnsi="Times New Roman"/>
          <w:sz w:val="24"/>
          <w:szCs w:val="24"/>
        </w:rPr>
        <w:t xml:space="preserve">Work on index insurance in India has long shown that demand is limited by factors beyond price. Cole et al. </w:t>
      </w:r>
      <w:r>
        <w:rPr/>
        <w:fldChar w:fldCharType="begin"/>
      </w:r>
      <w:r>
        <w:instrText xml:space="preserve"> HYPERLINK \l "ref_cole" </w:instrText>
      </w:r>
      <w:r>
        <w:rPr/>
        <w:fldChar w:fldCharType="separate"/>
      </w:r>
      <w:r>
        <w:rPr>
          <w:rFonts w:ascii="Times New Roman" w:cs="Times New Roman" w:eastAsia="Times New Roman" w:hAnsi="Times New Roman"/>
          <w:color w:val="0563c1"/>
          <w:sz w:val="24"/>
          <w:szCs w:val="24"/>
          <w:u w:val="single"/>
        </w:rPr>
        <w:t>[9]</w:t>
      </w:r>
      <w:r>
        <w:rPr/>
        <w:fldChar w:fldCharType="end"/>
      </w:r>
      <w:r>
        <w:rPr>
          <w:rFonts w:ascii="Times New Roman" w:cs="Times New Roman" w:eastAsia="Times New Roman" w:hAnsi="Times New Roman"/>
          <w:sz w:val="24"/>
          <w:szCs w:val="24"/>
        </w:rPr>
        <w:t xml:space="preserve"> studied rainfall insurance take-up and identified liquidity constraints and trust in the insurer among the barriers to household risk management. The relevance for PMFBY is that confidence in claim payment influences enrolment, which is consistent with farmers in Karnal and Kaithal linking non-enrolment to delayed settlement and past rejections </w:t>
      </w:r>
      <w:r>
        <w:rPr/>
        <w:fldChar w:fldCharType="begin"/>
      </w:r>
      <w:r>
        <w:instrText xml:space="preserve"> HYPERLINK \l "ref_karnal" </w:instrText>
      </w:r>
      <w:r>
        <w:rPr/>
        <w:fldChar w:fldCharType="separate"/>
      </w:r>
      <w:r>
        <w:rPr>
          <w:rFonts w:ascii="Times New Roman" w:cs="Times New Roman" w:eastAsia="Times New Roman" w:hAnsi="Times New Roman"/>
          <w:color w:val="0563c1"/>
          <w:sz w:val="24"/>
          <w:szCs w:val="24"/>
          <w:u w:val="single"/>
        </w:rPr>
        <w:t>[6]</w:t>
      </w:r>
      <w:r>
        <w:rPr/>
        <w:fldChar w:fldCharType="end"/>
      </w:r>
      <w:r>
        <w:rPr>
          <w:rFonts w:ascii="Times New Roman" w:cs="Times New Roman" w:eastAsia="Times New Roman" w:hAnsi="Times New Roman"/>
          <w:sz w:val="24"/>
          <w:szCs w:val="24"/>
        </w:rPr>
        <w:t xml:space="preserve">. Official sources document the settlement problem directly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"ref_ls" </w:instrText>
      </w:r>
      <w:r>
        <w:rPr/>
        <w:fldChar w:fldCharType="separate"/>
      </w:r>
      <w:r>
        <w:rPr>
          <w:rFonts w:ascii="Times New Roman" w:cs="Times New Roman" w:eastAsia="Times New Roman" w:hAnsi="Times New Roman"/>
          <w:color w:val="0563c1"/>
          <w:sz w:val="24"/>
          <w:szCs w:val="24"/>
          <w:u w:val="single"/>
        </w:rPr>
        <w:t>[4]</w:t>
      </w:r>
      <w:r>
        <w:rPr/>
        <w:fldChar w:fldCharType="end"/>
      </w:r>
      <w:r>
        <w:rPr>
          <w:rFonts w:ascii="Times New Roman" w:cs="Times New Roman" w:eastAsia="Times New Roman" w:hAnsi="Times New Roman"/>
          <w:sz w:val="24"/>
          <w:szCs w:val="24"/>
        </w:rPr>
        <w:t xml:space="preserve">, and a survey of insured and non-insured farmers in Haryana found delay in claim settlement among the leading constraints </w:t>
      </w:r>
      <w:r>
        <w:rPr/>
        <w:fldChar w:fldCharType="begin"/>
      </w:r>
      <w:r>
        <w:instrText xml:space="preserve"> HYPERLINK \l "ref_punia" </w:instrText>
      </w:r>
      <w:r>
        <w:rPr/>
        <w:fldChar w:fldCharType="separate"/>
      </w:r>
      <w:r>
        <w:rPr>
          <w:rFonts w:ascii="Times New Roman" w:cs="Times New Roman" w:eastAsia="Times New Roman" w:hAnsi="Times New Roman"/>
          <w:color w:val="0563c1"/>
          <w:sz w:val="24"/>
          <w:szCs w:val="24"/>
          <w:u w:val="single"/>
        </w:rPr>
        <w:t>[7]</w:t>
      </w:r>
      <w:r>
        <w:rPr/>
        <w:fldChar w:fldCharType="end"/>
      </w:r>
      <w:r>
        <w:rPr>
          <w:rFonts w:ascii="Times New Roman" w:cs="Times New Roman" w:eastAsia="Times New Roman" w:hAnsi="Times New Roman"/>
          <w:sz w:val="24"/>
          <w:szCs w:val="24"/>
        </w:rPr>
        <w:t>. These sources are valuable for describing the problem, but none of them models the probability that a given claim will be rejected.</w:t>
      </w:r>
    </w:p>
    <w:p w14:paraId="0CAC80A8">
      <w:pPr>
        <w:pStyle w:val="style0"/>
        <w:keepNext/>
        <w:spacing w:before="160" w:after="100"/>
        <w:rPr/>
      </w:pPr>
      <w:r>
        <w:rPr>
          <w:rFonts w:ascii="Times New Roman" w:cs="Times New Roman" w:eastAsia="Times New Roman" w:hAnsi="Times New Roman"/>
          <w:b/>
          <w:bCs/>
          <w:sz w:val="24"/>
          <w:szCs w:val="24"/>
        </w:rPr>
        <w:t>Table 1: Review of Literature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00"/>
        <w:gridCol w:w="4726"/>
      </w:tblGrid>
      <w:tr w14:paraId="4147F894">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9089A878">
            <w:pPr>
              <w:pStyle w:val="style0"/>
              <w:spacing w:after="0"/>
              <w:jc w:val="left"/>
              <w:rPr/>
            </w:pPr>
            <w:r>
              <w:rPr>
                <w:rFonts w:ascii="Times New Roman" w:cs="Times New Roman" w:eastAsia="Times New Roman" w:hAnsi="Times New Roman"/>
                <w:b/>
                <w:bCs/>
                <w:sz w:val="20"/>
                <w:szCs w:val="20"/>
              </w:rPr>
              <w:t>Reference / Author</w:t>
            </w:r>
          </w:p>
        </w:tc>
        <w:tc>
          <w:tcPr>
            <w:tcW w:w="47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D70E56BA">
            <w:pPr>
              <w:pStyle w:val="style0"/>
              <w:spacing w:after="0"/>
              <w:jc w:val="left"/>
              <w:rPr/>
            </w:pPr>
            <w:r>
              <w:rPr>
                <w:rFonts w:ascii="Times New Roman" w:cs="Times New Roman" w:eastAsia="Times New Roman" w:hAnsi="Times New Roman"/>
                <w:b/>
                <w:bCs/>
                <w:sz w:val="20"/>
                <w:szCs w:val="20"/>
              </w:rPr>
              <w:t>Main Findings</w:t>
            </w:r>
          </w:p>
        </w:tc>
      </w:tr>
      <w:tr w14:paraId="B2F6A2F4">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9F37CF3">
            <w:pPr>
              <w:pStyle w:val="style0"/>
              <w:spacing w:after="0"/>
              <w:jc w:val="left"/>
              <w:rPr/>
            </w:pPr>
            <w:r>
              <w:rPr/>
              <w:fldChar w:fldCharType="begin"/>
            </w:r>
            <w:r>
              <w:instrText xml:space="preserve"> HYPERLINK \l "ref_prs" </w:instrText>
            </w:r>
            <w:r>
              <w:rPr/>
              <w:fldChar w:fldCharType="separate"/>
            </w:r>
            <w:r>
              <w:rPr>
                <w:rFonts w:ascii="Times New Roman" w:cs="Times New Roman" w:eastAsia="Times New Roman" w:hAnsi="Times New Roman"/>
                <w:color w:val="0563c1"/>
                <w:sz w:val="20"/>
                <w:szCs w:val="20"/>
                <w:u w:val="single"/>
              </w:rPr>
              <w:t>[1]</w:t>
            </w:r>
            <w:r>
              <w:rPr/>
              <w:fldChar w:fldCharType="end"/>
            </w:r>
            <w:r>
              <w:rPr>
                <w:rFonts w:ascii="Times New Roman" w:cs="Times New Roman" w:eastAsia="Times New Roman" w:hAnsi="Times New Roman"/>
                <w:sz w:val="20"/>
                <w:szCs w:val="20"/>
              </w:rPr>
              <w:t xml:space="preserve"> PRS Legislative Research (2021). Standing Committee report summary: PMFBY – An evaluation.</w:t>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0970699">
            <w:pPr>
              <w:pStyle w:val="style0"/>
              <w:spacing w:after="0"/>
              <w:jc w:val="left"/>
              <w:rPr/>
            </w:pPr>
            <w:r>
              <w:rPr>
                <w:rFonts w:ascii="Times New Roman" w:cs="Times New Roman" w:eastAsia="Times New Roman" w:hAnsi="Times New Roman"/>
                <w:sz w:val="20"/>
                <w:szCs w:val="20"/>
              </w:rPr>
              <w:t>Recognised delay in claim settlement as a major impediment; noted causes including non-receipt of farmer account details; recommended stricter timelines for insurers.</w:t>
            </w:r>
          </w:p>
        </w:tc>
      </w:tr>
      <w:tr w14:paraId="EB7645B4">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05AA709">
            <w:pPr>
              <w:pStyle w:val="style0"/>
              <w:spacing w:after="0"/>
              <w:jc w:val="left"/>
              <w:rPr/>
            </w:pPr>
            <w:r>
              <w:rPr/>
              <w:fldChar w:fldCharType="begin"/>
            </w:r>
            <w:r>
              <w:instrText xml:space="preserve"> HYPERLINK \l "ref_rs24" </w:instrText>
            </w:r>
            <w:r>
              <w:rPr/>
              <w:fldChar w:fldCharType="separate"/>
            </w:r>
            <w:r>
              <w:rPr>
                <w:rFonts w:ascii="Times New Roman" w:cs="Times New Roman" w:eastAsia="Times New Roman" w:hAnsi="Times New Roman"/>
                <w:color w:val="0563c1"/>
                <w:sz w:val="20"/>
                <w:szCs w:val="20"/>
                <w:u w:val="single"/>
              </w:rPr>
              <w:t>[2]</w:t>
            </w:r>
            <w:r>
              <w:rPr/>
              <w:fldChar w:fldCharType="end"/>
            </w:r>
            <w:r>
              <w:rPr>
                <w:rFonts w:ascii="Times New Roman" w:cs="Times New Roman" w:eastAsia="Times New Roman" w:hAnsi="Times New Roman"/>
                <w:sz w:val="20"/>
                <w:szCs w:val="20"/>
              </w:rPr>
              <w:t xml:space="preserve"> Ministry of Agriculture and Farmers Welfare (2024). Delay in settlement of claims under PMFBY and RWBCIS.</w:t>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DC36BA76">
            <w:pPr>
              <w:pStyle w:val="style0"/>
              <w:spacing w:after="0"/>
              <w:jc w:val="left"/>
              <w:rPr/>
            </w:pPr>
            <w:r>
              <w:rPr>
                <w:rFonts w:ascii="Times New Roman" w:cs="Times New Roman" w:eastAsia="Times New Roman" w:hAnsi="Times New Roman"/>
                <w:sz w:val="20"/>
                <w:szCs w:val="20"/>
              </w:rPr>
              <w:t>Attributed delays to farmer-data issues on the National Crop Insurance Portal, delayed premium remittance and bank-account details; described stratified grievance redressal.</w:t>
            </w:r>
          </w:p>
        </w:tc>
      </w:tr>
      <w:tr w14:paraId="191CBDBA">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8DFCEA">
            <w:pPr>
              <w:pStyle w:val="style0"/>
              <w:spacing w:after="0"/>
              <w:jc w:val="left"/>
              <w:rPr/>
            </w:pPr>
            <w:r>
              <w:rPr/>
              <w:fldChar w:fldCharType="begin"/>
            </w:r>
            <w:r>
              <w:instrText xml:space="preserve"> HYPERLINK \l "ref_ls" </w:instrText>
            </w:r>
            <w:r>
              <w:rPr/>
              <w:fldChar w:fldCharType="separate"/>
            </w:r>
            <w:r>
              <w:rPr>
                <w:rFonts w:ascii="Times New Roman" w:cs="Times New Roman" w:eastAsia="Times New Roman" w:hAnsi="Times New Roman"/>
                <w:color w:val="0563c1"/>
                <w:sz w:val="20"/>
                <w:szCs w:val="20"/>
                <w:u w:val="single"/>
              </w:rPr>
              <w:t>[4] Ministry of Agriculture and Farmers Welfare (2024). Grievances filed by farmers against insurance companies (Lok Sabha Q. 2508).</w:t>
            </w:r>
            <w:r>
              <w:rPr/>
              <w:fldChar w:fldCharType="end"/>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118FEF">
            <w:pPr>
              <w:pStyle w:val="style0"/>
              <w:spacing w:after="0"/>
              <w:jc w:val="left"/>
              <w:rPr/>
            </w:pPr>
            <w:r>
              <w:rPr>
                <w:rFonts w:ascii="Times New Roman" w:cs="Times New Roman" w:eastAsia="Times New Roman" w:hAnsi="Times New Roman"/>
                <w:sz w:val="20"/>
                <w:szCs w:val="20"/>
              </w:rPr>
              <w:t>Reported a large volume of registered grievances, of which 24.96 lakh were from farmers; described the grievance platform.</w:t>
            </w:r>
          </w:p>
        </w:tc>
      </w:tr>
      <w:tr w14:paraId="56657A6F">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C187CF">
            <w:pPr>
              <w:pStyle w:val="style0"/>
              <w:spacing w:after="0"/>
              <w:jc w:val="left"/>
              <w:rPr/>
            </w:pPr>
            <w:r>
              <w:rPr/>
              <w:fldChar w:fldCharType="begin"/>
            </w:r>
            <w:r>
              <w:instrText xml:space="preserve"> HYPERLINK \l "ref_hisar" </w:instrText>
            </w:r>
            <w:r>
              <w:rPr/>
              <w:fldChar w:fldCharType="separate"/>
            </w:r>
            <w:r>
              <w:rPr>
                <w:rFonts w:ascii="Times New Roman" w:cs="Times New Roman" w:eastAsia="Times New Roman" w:hAnsi="Times New Roman"/>
                <w:color w:val="0563c1"/>
                <w:sz w:val="20"/>
                <w:szCs w:val="20"/>
                <w:u w:val="single"/>
              </w:rPr>
              <w:t>[5] Deswal, D. (2025). Panel directs insurer to resolve Hisar farmers' pending claims. The Tribune.</w:t>
            </w:r>
            <w:r>
              <w:rPr/>
              <w:fldChar w:fldCharType="end"/>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872E3CAE">
            <w:pPr>
              <w:pStyle w:val="style0"/>
              <w:spacing w:after="0"/>
              <w:jc w:val="left"/>
              <w:rPr/>
            </w:pPr>
            <w:r>
              <w:rPr>
                <w:rFonts w:ascii="Times New Roman" w:cs="Times New Roman" w:eastAsia="Times New Roman" w:hAnsi="Times New Roman"/>
                <w:sz w:val="20"/>
                <w:szCs w:val="20"/>
              </w:rPr>
              <w:t>District committee heard 22,213 claim applicants and 4,693 unresolved cases; rejections or partial approvals linked to survey delays; 13 rejections due to clerical errors.</w:t>
            </w:r>
          </w:p>
        </w:tc>
      </w:tr>
      <w:tr w14:paraId="DB82E349">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910E9A8">
            <w:pPr>
              <w:pStyle w:val="style0"/>
              <w:spacing w:after="0"/>
              <w:jc w:val="left"/>
              <w:rPr/>
            </w:pPr>
            <w:r>
              <w:rPr/>
              <w:fldChar w:fldCharType="begin"/>
            </w:r>
            <w:r>
              <w:instrText xml:space="preserve"> HYPERLINK \l "ref_punia" </w:instrText>
            </w:r>
            <w:r>
              <w:rPr/>
              <w:fldChar w:fldCharType="separate"/>
            </w:r>
            <w:r>
              <w:rPr>
                <w:rFonts w:ascii="Times New Roman" w:cs="Times New Roman" w:eastAsia="Times New Roman" w:hAnsi="Times New Roman"/>
                <w:color w:val="0563c1"/>
                <w:sz w:val="20"/>
                <w:szCs w:val="20"/>
                <w:u w:val="single"/>
              </w:rPr>
              <w:t>[7] Punia, M., et al. (2021). Problems, prospects and policy recommendations of crop insurance schemes. AJAEES, 39(5).</w:t>
            </w:r>
            <w:r>
              <w:rPr/>
              <w:fldChar w:fldCharType="end"/>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E86E45">
            <w:pPr>
              <w:pStyle w:val="style0"/>
              <w:spacing w:after="0"/>
              <w:jc w:val="left"/>
              <w:rPr/>
            </w:pPr>
            <w:r>
              <w:rPr>
                <w:rFonts w:ascii="Times New Roman" w:cs="Times New Roman" w:eastAsia="Times New Roman" w:hAnsi="Times New Roman"/>
                <w:sz w:val="20"/>
                <w:szCs w:val="20"/>
              </w:rPr>
              <w:t>Survey of 240 farmers (120 insured, 120 non-insured); delay in claim settlement was among the main constraints; trust-related constraints noted for non-borrowers.</w:t>
            </w:r>
          </w:p>
        </w:tc>
      </w:tr>
      <w:tr w14:paraId="0536752B">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E6B588">
            <w:pPr>
              <w:pStyle w:val="style0"/>
              <w:spacing w:after="0"/>
              <w:jc w:val="left"/>
              <w:rPr/>
            </w:pPr>
            <w:r>
              <w:rPr/>
              <w:fldChar w:fldCharType="begin"/>
            </w:r>
            <w:r>
              <w:instrText xml:space="preserve"> HYPERLINK \l "ref_cole" </w:instrText>
            </w:r>
            <w:r>
              <w:rPr/>
              <w:fldChar w:fldCharType="separate"/>
            </w:r>
            <w:r>
              <w:rPr>
                <w:rFonts w:ascii="Times New Roman" w:cs="Times New Roman" w:eastAsia="Times New Roman" w:hAnsi="Times New Roman"/>
                <w:color w:val="0563c1"/>
                <w:sz w:val="20"/>
                <w:szCs w:val="20"/>
                <w:u w:val="single"/>
              </w:rPr>
              <w:t>[9]</w:t>
            </w:r>
            <w:r>
              <w:rPr/>
              <w:fldChar w:fldCharType="end"/>
            </w:r>
            <w:r>
              <w:rPr>
                <w:rFonts w:ascii="Times New Roman" w:cs="Times New Roman" w:eastAsia="Times New Roman" w:hAnsi="Times New Roman"/>
                <w:sz w:val="20"/>
                <w:szCs w:val="20"/>
              </w:rPr>
              <w:t xml:space="preserve"> Cole, S., et al. (2013). Barriers to household risk management: Evidence from India. </w:t>
            </w:r>
            <w:r>
              <w:rPr>
                <w:rFonts w:ascii="Times New Roman" w:cs="Times New Roman" w:eastAsia="Times New Roman" w:hAnsi="Times New Roman"/>
                <w:i/>
                <w:iCs/>
                <w:sz w:val="20"/>
                <w:szCs w:val="20"/>
              </w:rPr>
              <w:t>AEJ: Applied Economics, 5</w:t>
            </w:r>
            <w:r>
              <w:rPr>
                <w:rFonts w:ascii="Times New Roman" w:cs="Times New Roman" w:eastAsia="Times New Roman" w:hAnsi="Times New Roman"/>
                <w:sz w:val="20"/>
                <w:szCs w:val="20"/>
              </w:rPr>
              <w:t>(1).</w:t>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63928F">
            <w:pPr>
              <w:pStyle w:val="style0"/>
              <w:spacing w:after="0"/>
              <w:jc w:val="left"/>
              <w:rPr/>
            </w:pPr>
            <w:r>
              <w:rPr>
                <w:rFonts w:ascii="Times New Roman" w:cs="Times New Roman" w:eastAsia="Times New Roman" w:hAnsi="Times New Roman"/>
                <w:sz w:val="20"/>
                <w:szCs w:val="20"/>
              </w:rPr>
              <w:t>Studied rainfall insurance demand in India; found that liquidity and trust-related factors constrain take-up.</w:t>
            </w:r>
          </w:p>
        </w:tc>
      </w:tr>
      <w:tr w14:paraId="CD183556">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E672CC1">
            <w:pPr>
              <w:pStyle w:val="style0"/>
              <w:spacing w:after="0"/>
              <w:jc w:val="left"/>
              <w:rPr/>
            </w:pPr>
            <w:r>
              <w:rPr/>
              <w:fldChar w:fldCharType="begin"/>
            </w:r>
            <w:r>
              <w:instrText xml:space="preserve"> HYPERLINK \l "ref_kim" </w:instrText>
            </w:r>
            <w:r>
              <w:rPr/>
              <w:fldChar w:fldCharType="separate"/>
            </w:r>
            <w:r>
              <w:rPr>
                <w:rFonts w:ascii="Times New Roman" w:cs="Times New Roman" w:eastAsia="Times New Roman" w:hAnsi="Times New Roman"/>
                <w:color w:val="0563c1"/>
                <w:sz w:val="20"/>
                <w:szCs w:val="20"/>
                <w:u w:val="single"/>
              </w:rPr>
              <w:t>[8]</w:t>
            </w:r>
            <w:r>
              <w:rPr/>
              <w:fldChar w:fldCharType="end"/>
            </w:r>
            <w:r>
              <w:rPr>
                <w:rFonts w:ascii="Times New Roman" w:cs="Times New Roman" w:eastAsia="Times New Roman" w:hAnsi="Times New Roman"/>
                <w:sz w:val="20"/>
                <w:szCs w:val="20"/>
              </w:rPr>
              <w:t xml:space="preserve"> Kim, B.-H., et al. (2020). Deep Claim: Payer response prediction from claims data with deep learning.</w:t>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E042453">
            <w:pPr>
              <w:pStyle w:val="style0"/>
              <w:spacing w:after="0"/>
              <w:jc w:val="left"/>
              <w:rPr/>
            </w:pPr>
            <w:r>
              <w:rPr>
                <w:rFonts w:ascii="Times New Roman" w:cs="Times New Roman" w:eastAsia="Times New Roman" w:hAnsi="Times New Roman"/>
                <w:sz w:val="20"/>
                <w:szCs w:val="20"/>
              </w:rPr>
              <w:t>Reported that about 10% of health claims are denied; a deep model trained on about 2.9 million de-identified claims improved denial recall at high precision over baselines.</w:t>
            </w:r>
          </w:p>
        </w:tc>
      </w:tr>
      <w:tr w14:paraId="55D64C0F">
        <w:tblPrEx/>
        <w:trPr>
          <w:cantSplit/>
        </w:trPr>
        <w:tc>
          <w:tcPr>
            <w:tcW w:w="4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9BB296">
            <w:pPr>
              <w:pStyle w:val="style0"/>
              <w:spacing w:after="0"/>
              <w:jc w:val="left"/>
              <w:rPr/>
            </w:pPr>
            <w:r>
              <w:rPr/>
              <w:fldChar w:fldCharType="begin"/>
            </w:r>
            <w:r>
              <w:instrText xml:space="preserve"> HYPERLINK \l "ref_troxler" </w:instrText>
            </w:r>
            <w:r>
              <w:rPr/>
              <w:fldChar w:fldCharType="separate"/>
            </w:r>
            <w:r>
              <w:rPr>
                <w:rFonts w:ascii="Times New Roman" w:cs="Times New Roman" w:eastAsia="Times New Roman" w:hAnsi="Times New Roman"/>
                <w:color w:val="0563c1"/>
                <w:sz w:val="20"/>
                <w:szCs w:val="20"/>
                <w:u w:val="single"/>
              </w:rPr>
              <w:t>[10] Troxler, A., &amp; Schelldorfer, J. (2024). Actuarial applications of NLP using transformers. British Actuarial Journal, 29, e4.</w:t>
            </w:r>
            <w:r>
              <w:rPr/>
              <w:fldChar w:fldCharType="end"/>
            </w:r>
          </w:p>
        </w:tc>
        <w:tc>
          <w:tcPr>
            <w:tcW w:w="4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44C9B4">
            <w:pPr>
              <w:pStyle w:val="style0"/>
              <w:spacing w:after="0"/>
              <w:jc w:val="left"/>
              <w:rPr/>
            </w:pPr>
            <w:r>
              <w:rPr>
                <w:rFonts w:ascii="Times New Roman" w:cs="Times New Roman" w:eastAsia="Times New Roman" w:hAnsi="Times New Roman"/>
                <w:sz w:val="20"/>
                <w:szCs w:val="20"/>
              </w:rPr>
              <w:t>Showed workflows for adding text features to actuarial classification and regression, including fine-tuning, multilingual settings and few-label transfer learning.</w:t>
            </w:r>
          </w:p>
        </w:tc>
      </w:tr>
    </w:tbl>
    <w:p w14:paraId="35864DCB">
      <w:pPr>
        <w:pStyle w:val="style0"/>
        <w:spacing w:after="0" w:lineRule="exact" w:line="120"/>
        <w:rPr/>
      </w:pPr>
    </w:p>
    <w:p w14:paraId="CE4F6A66">
      <w:pPr>
        <w:pStyle w:val="style4107"/>
        <w:keepNext/>
        <w:spacing w:before="200" w:after="120"/>
        <w:rPr/>
      </w:pPr>
      <w:r>
        <w:rPr>
          <w:rFonts w:ascii="Times New Roman" w:cs="Times New Roman" w:eastAsia="Times New Roman" w:hAnsi="Times New Roman"/>
          <w:b/>
          <w:bCs/>
          <w:sz w:val="24"/>
          <w:szCs w:val="24"/>
        </w:rPr>
        <w:t>2.2 Claim Denial and Payer-Response Prediction</w:t>
      </w:r>
    </w:p>
    <w:p w14:paraId="551F9E56">
      <w:pPr>
        <w:pStyle w:val="style0"/>
        <w:spacing w:before="0" w:after="160" w:lineRule="auto" w:line="282"/>
        <w:jc w:val="both"/>
        <w:rPr/>
      </w:pPr>
      <w:r>
        <w:rPr>
          <w:rFonts w:ascii="Times New Roman" w:cs="Times New Roman" w:eastAsia="Times New Roman" w:hAnsi="Times New Roman"/>
          <w:sz w:val="24"/>
          <w:szCs w:val="24"/>
        </w:rPr>
        <w:t xml:space="preserve">The most developed predictive literature on denial is in health insurance, where denied claims impose recovery costs on providers. Kim et al.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4"/>
          <w:szCs w:val="24"/>
          <w:u w:val="single"/>
        </w:rPr>
        <w:t>[8]</w:t>
      </w:r>
      <w:r>
        <w:rPr/>
        <w:fldChar w:fldCharType="end"/>
      </w:r>
      <w:r>
        <w:rPr>
          <w:rFonts w:ascii="Times New Roman" w:cs="Times New Roman" w:eastAsia="Times New Roman" w:hAnsi="Times New Roman"/>
          <w:sz w:val="24"/>
          <w:szCs w:val="24"/>
        </w:rPr>
        <w:t xml:space="preserve"> report that nearly one in ten claims is denied by payers and show that a deep-learning model on millions of de-identified claims can find more denials at a given precision than carefully chosen baselines. Its transfer to PMFBY is limited: the inputs are structured billing codes and not free text, the setting is a provider-payer relationship and not a subsidised scheme with farmer-filed intimation, and the output serves billing staff and not a beneficiary who must know what to fix. It does support two choices adopted here: evaluating at high precision and treating denial as a rare-event problem.</w:t>
      </w:r>
    </w:p>
    <w:p w14:paraId="4E19E885">
      <w:pPr>
        <w:pStyle w:val="style4107"/>
        <w:keepNext/>
        <w:spacing w:before="200" w:after="120"/>
        <w:rPr/>
      </w:pPr>
      <w:r>
        <w:rPr>
          <w:rFonts w:ascii="Times New Roman" w:cs="Times New Roman" w:eastAsia="Times New Roman" w:hAnsi="Times New Roman"/>
          <w:b/>
          <w:bCs/>
          <w:sz w:val="24"/>
          <w:szCs w:val="24"/>
        </w:rPr>
        <w:t>2.3 NLP for Insurance Text and Indian Languages</w:t>
      </w:r>
    </w:p>
    <w:p w14:paraId="B85D02CB">
      <w:pPr>
        <w:pStyle w:val="style0"/>
        <w:spacing w:before="0" w:after="160" w:lineRule="auto" w:line="282"/>
        <w:jc w:val="both"/>
        <w:rPr/>
      </w:pPr>
      <w:r>
        <w:rPr>
          <w:rFonts w:ascii="Times New Roman" w:cs="Times New Roman" w:eastAsia="Times New Roman" w:hAnsi="Times New Roman"/>
          <w:sz w:val="24"/>
          <w:szCs w:val="24"/>
        </w:rPr>
        <w:t xml:space="preserve">Troxler and Schelldorfer </w:t>
      </w:r>
      <w:r>
        <w:rPr/>
        <w:fldChar w:fldCharType="begin"/>
      </w:r>
      <w:r>
        <w:instrText xml:space="preserve"> HYPERLINK \l "ref_troxler" </w:instrText>
      </w:r>
      <w:r>
        <w:rPr/>
        <w:fldChar w:fldCharType="separate"/>
      </w:r>
      <w:r>
        <w:rPr>
          <w:rFonts w:ascii="Times New Roman" w:cs="Times New Roman" w:eastAsia="Times New Roman" w:hAnsi="Times New Roman"/>
          <w:color w:val="0563c1"/>
          <w:sz w:val="24"/>
          <w:szCs w:val="24"/>
          <w:u w:val="single"/>
        </w:rPr>
        <w:t>[10]</w:t>
      </w:r>
      <w:r>
        <w:rPr/>
        <w:fldChar w:fldCharType="end"/>
      </w:r>
      <w:r>
        <w:rPr>
          <w:rFonts w:ascii="Times New Roman" w:cs="Times New Roman" w:eastAsia="Times New Roman" w:hAnsi="Times New Roman"/>
          <w:sz w:val="24"/>
          <w:szCs w:val="24"/>
        </w:rPr>
        <w:t xml:space="preserve"> demonstrate that transformer-based language models can turn claim descriptions into useful features for actuarial classification, that fine-tuning to the domain improves performance, and that off-the-shelf models with minimal pre-processing can work when labelled data are scarce. These properties matter for PMFBY because labelled rejection data will be limited and uneven across states. Pre-trained language models such as BERT </w:t>
      </w:r>
      <w:r>
        <w:rPr/>
        <w:fldChar w:fldCharType="begin"/>
      </w:r>
      <w:r>
        <w:instrText xml:space="preserve"> HYPERLINK \l "ref_devlin" </w:instrText>
      </w:r>
      <w:r>
        <w:rPr/>
        <w:fldChar w:fldCharType="separate"/>
      </w:r>
      <w:r>
        <w:rPr>
          <w:rFonts w:ascii="Times New Roman" w:cs="Times New Roman" w:eastAsia="Times New Roman" w:hAnsi="Times New Roman"/>
          <w:color w:val="0563c1"/>
          <w:sz w:val="24"/>
          <w:szCs w:val="24"/>
          <w:u w:val="single"/>
        </w:rPr>
        <w:t>[11]</w:t>
      </w:r>
      <w:r>
        <w:rPr/>
        <w:fldChar w:fldCharType="end"/>
      </w:r>
      <w:r>
        <w:rPr>
          <w:rFonts w:ascii="Times New Roman" w:cs="Times New Roman" w:eastAsia="Times New Roman" w:hAnsi="Times New Roman"/>
          <w:sz w:val="24"/>
          <w:szCs w:val="24"/>
        </w:rPr>
        <w:t xml:space="preserve"> established the transfer-learning approach. For Indian languages, MuRIL </w:t>
      </w:r>
      <w:r>
        <w:rPr/>
        <w:fldChar w:fldCharType="begin"/>
      </w:r>
      <w:r>
        <w:instrText xml:space="preserve"> HYPERLINK \l "ref_muril" </w:instrText>
      </w:r>
      <w:r>
        <w:rPr/>
        <w:fldChar w:fldCharType="separate"/>
      </w:r>
      <w:r>
        <w:rPr>
          <w:rFonts w:ascii="Times New Roman" w:cs="Times New Roman" w:eastAsia="Times New Roman" w:hAnsi="Times New Roman"/>
          <w:color w:val="0563c1"/>
          <w:sz w:val="24"/>
          <w:szCs w:val="24"/>
          <w:u w:val="single"/>
        </w:rPr>
        <w:t>[12]</w:t>
      </w:r>
      <w:r>
        <w:rPr/>
        <w:fldChar w:fldCharType="end"/>
      </w:r>
      <w:r>
        <w:rPr>
          <w:rFonts w:ascii="Times New Roman" w:cs="Times New Roman" w:eastAsia="Times New Roman" w:hAnsi="Times New Roman"/>
          <w:sz w:val="24"/>
          <w:szCs w:val="24"/>
        </w:rPr>
        <w:t xml:space="preserve"> and the models in IndicNLPSuite </w:t>
      </w:r>
      <w:r>
        <w:rPr/>
        <w:fldChar w:fldCharType="begin"/>
      </w:r>
      <w:r>
        <w:instrText xml:space="preserve"> HYPERLINK \l "ref_indic" </w:instrText>
      </w:r>
      <w:r>
        <w:rPr/>
        <w:fldChar w:fldCharType="separate"/>
      </w:r>
      <w:r>
        <w:rPr>
          <w:rFonts w:ascii="Times New Roman" w:cs="Times New Roman" w:eastAsia="Times New Roman" w:hAnsi="Times New Roman"/>
          <w:color w:val="0563c1"/>
          <w:sz w:val="24"/>
          <w:szCs w:val="24"/>
          <w:u w:val="single"/>
        </w:rPr>
        <w:t>[13]</w:t>
      </w:r>
      <w:r>
        <w:rPr/>
        <w:fldChar w:fldCharType="end"/>
      </w:r>
      <w:r>
        <w:rPr>
          <w:rFonts w:ascii="Times New Roman" w:cs="Times New Roman" w:eastAsia="Times New Roman" w:hAnsi="Times New Roman"/>
          <w:sz w:val="24"/>
          <w:szCs w:val="24"/>
        </w:rPr>
        <w:t xml:space="preserve"> provide multilingual and Indic-language encoders suitable for vernacular and code-mixed text. A classical TF-IDF representation </w:t>
      </w:r>
      <w:r>
        <w:rPr/>
        <w:fldChar w:fldCharType="begin"/>
      </w:r>
      <w:r>
        <w:instrText xml:space="preserve"> HYPERLINK \l "ref_salton" </w:instrText>
      </w:r>
      <w:r>
        <w:rPr/>
        <w:fldChar w:fldCharType="separate"/>
      </w:r>
      <w:r>
        <w:rPr>
          <w:rFonts w:ascii="Times New Roman" w:cs="Times New Roman" w:eastAsia="Times New Roman" w:hAnsi="Times New Roman"/>
          <w:color w:val="0563c1"/>
          <w:sz w:val="24"/>
          <w:szCs w:val="24"/>
          <w:u w:val="single"/>
        </w:rPr>
        <w:t>[14]</w:t>
      </w:r>
      <w:r>
        <w:rPr/>
        <w:fldChar w:fldCharType="end"/>
      </w:r>
      <w:r>
        <w:rPr>
          <w:rFonts w:ascii="Times New Roman" w:cs="Times New Roman" w:eastAsia="Times New Roman" w:hAnsi="Times New Roman"/>
          <w:sz w:val="24"/>
          <w:szCs w:val="24"/>
        </w:rPr>
        <w:t xml:space="preserve"> remains a useful interpretable baseline against which any gain from transformers has to be demonstrated.</w:t>
      </w:r>
    </w:p>
    <w:p w14:paraId="61E41532">
      <w:pPr>
        <w:pStyle w:val="style4107"/>
        <w:keepNext/>
        <w:spacing w:before="200" w:after="120"/>
        <w:rPr/>
      </w:pPr>
      <w:r>
        <w:rPr>
          <w:rFonts w:ascii="Times New Roman" w:cs="Times New Roman" w:eastAsia="Times New Roman" w:hAnsi="Times New Roman"/>
          <w:b/>
          <w:bCs/>
          <w:sz w:val="24"/>
          <w:szCs w:val="24"/>
        </w:rPr>
        <w:t>2.4 Methods for Rare Outcomes, Calibration and Explanation</w:t>
      </w:r>
    </w:p>
    <w:p w14:paraId="C59C4B32">
      <w:pPr>
        <w:pStyle w:val="style0"/>
        <w:spacing w:before="0" w:after="160" w:lineRule="auto" w:line="282"/>
        <w:jc w:val="both"/>
        <w:rPr/>
      </w:pPr>
      <w:r>
        <w:rPr>
          <w:rFonts w:ascii="Times New Roman" w:cs="Times New Roman" w:eastAsia="Times New Roman" w:hAnsi="Times New Roman"/>
          <w:sz w:val="24"/>
          <w:szCs w:val="24"/>
        </w:rPr>
        <w:t xml:space="preserve">Rejection is expected to be a minority outcome, so accuracy is misleading and precision-recall analysis is preferred when classes are imbalanced </w:t>
      </w:r>
      <w:r>
        <w:rPr/>
        <w:fldChar w:fldCharType="begin"/>
      </w:r>
      <w:r>
        <w:instrText xml:space="preserve"> HYPERLINK \l "ref_pr" </w:instrText>
      </w:r>
      <w:r>
        <w:rPr/>
        <w:fldChar w:fldCharType="separate"/>
      </w:r>
      <w:r>
        <w:rPr>
          <w:rFonts w:ascii="Times New Roman" w:cs="Times New Roman" w:eastAsia="Times New Roman" w:hAnsi="Times New Roman"/>
          <w:color w:val="0563c1"/>
          <w:sz w:val="24"/>
          <w:szCs w:val="24"/>
          <w:u w:val="single"/>
        </w:rPr>
        <w:t>[15]</w:t>
      </w:r>
      <w:r>
        <w:rPr/>
        <w:fldChar w:fldCharType="end"/>
      </w:r>
      <w:r>
        <w:rPr>
          <w:rFonts w:ascii="Times New Roman" w:cs="Times New Roman" w:eastAsia="Times New Roman" w:hAnsi="Times New Roman"/>
          <w:sz w:val="24"/>
          <w:szCs w:val="24"/>
        </w:rPr>
        <w:t xml:space="preserve">. SMOTE </w:t>
      </w:r>
      <w:r>
        <w:rPr/>
        <w:fldChar w:fldCharType="begin"/>
      </w:r>
      <w:r>
        <w:instrText xml:space="preserve"> HYPERLINK \l "ref_smote" </w:instrText>
      </w:r>
      <w:r>
        <w:rPr/>
        <w:fldChar w:fldCharType="separate"/>
      </w:r>
      <w:r>
        <w:rPr>
          <w:rFonts w:ascii="Times New Roman" w:cs="Times New Roman" w:eastAsia="Times New Roman" w:hAnsi="Times New Roman"/>
          <w:color w:val="0563c1"/>
          <w:sz w:val="24"/>
          <w:szCs w:val="24"/>
          <w:u w:val="single"/>
        </w:rPr>
        <w:t>[16]</w:t>
      </w:r>
      <w:r>
        <w:rPr/>
        <w:fldChar w:fldCharType="end"/>
      </w:r>
      <w:r>
        <w:rPr>
          <w:rFonts w:ascii="Times New Roman" w:cs="Times New Roman" w:eastAsia="Times New Roman" w:hAnsi="Times New Roman"/>
          <w:sz w:val="24"/>
          <w:szCs w:val="24"/>
        </w:rPr>
        <w:t xml:space="preserve"> and cost-sensitive learning </w:t>
      </w:r>
      <w:r>
        <w:rPr/>
        <w:fldChar w:fldCharType="begin"/>
      </w:r>
      <w:r>
        <w:instrText xml:space="preserve"> HYPERLINK \l "ref_elkan" </w:instrText>
      </w:r>
      <w:r>
        <w:rPr/>
        <w:fldChar w:fldCharType="separate"/>
      </w:r>
      <w:r>
        <w:rPr>
          <w:rFonts w:ascii="Times New Roman" w:cs="Times New Roman" w:eastAsia="Times New Roman" w:hAnsi="Times New Roman"/>
          <w:color w:val="0563c1"/>
          <w:sz w:val="24"/>
          <w:szCs w:val="24"/>
          <w:u w:val="single"/>
        </w:rPr>
        <w:t>[17]</w:t>
      </w:r>
      <w:r>
        <w:rPr/>
        <w:fldChar w:fldCharType="end"/>
      </w:r>
      <w:r>
        <w:rPr>
          <w:rFonts w:ascii="Times New Roman" w:cs="Times New Roman" w:eastAsia="Times New Roman" w:hAnsi="Times New Roman"/>
          <w:sz w:val="24"/>
          <w:szCs w:val="24"/>
        </w:rPr>
        <w:t xml:space="preserve"> are standard remedies, gradient-boosted trees </w:t>
      </w:r>
      <w:r>
        <w:rPr/>
        <w:fldChar w:fldCharType="begin"/>
      </w:r>
      <w:r>
        <w:instrText xml:space="preserve"> HYPERLINK \l "ref_xgb" </w:instrText>
      </w:r>
      <w:r>
        <w:rPr/>
        <w:fldChar w:fldCharType="separate"/>
      </w:r>
      <w:r>
        <w:rPr>
          <w:rFonts w:ascii="Times New Roman" w:cs="Times New Roman" w:eastAsia="Times New Roman" w:hAnsi="Times New Roman"/>
          <w:color w:val="0563c1"/>
          <w:sz w:val="24"/>
          <w:szCs w:val="24"/>
          <w:u w:val="single"/>
        </w:rPr>
        <w:t>[18]</w:t>
      </w:r>
      <w:r>
        <w:rPr/>
        <w:fldChar w:fldCharType="end"/>
      </w:r>
      <w:r>
        <w:rPr>
          <w:rFonts w:ascii="Times New Roman" w:cs="Times New Roman" w:eastAsia="Times New Roman" w:hAnsi="Times New Roman"/>
          <w:sz w:val="24"/>
          <w:szCs w:val="24"/>
        </w:rPr>
        <w:t xml:space="preserve"> are a strong default for tabular data, and probability-based decisions need calibrated scores </w:t>
      </w:r>
      <w:r>
        <w:rPr/>
        <w:fldChar w:fldCharType="begin"/>
      </w:r>
      <w:r>
        <w:instrText xml:space="preserve"> HYPERLINK \l "ref_niculescu" </w:instrText>
      </w:r>
      <w:r>
        <w:rPr/>
        <w:fldChar w:fldCharType="separate"/>
      </w:r>
      <w:r>
        <w:rPr>
          <w:rFonts w:ascii="Times New Roman" w:cs="Times New Roman" w:eastAsia="Times New Roman" w:hAnsi="Times New Roman"/>
          <w:color w:val="0563c1"/>
          <w:sz w:val="24"/>
          <w:szCs w:val="24"/>
          <w:u w:val="single"/>
        </w:rPr>
        <w:t>[19]</w:t>
      </w:r>
      <w:r>
        <w:rPr/>
        <w:fldChar w:fldCharType="end"/>
      </w:r>
      <w:r>
        <w:rPr>
          <w:rFonts w:ascii="Times New Roman" w:cs="Times New Roman" w:eastAsia="Times New Roman" w:hAnsi="Times New Roman"/>
          <w:sz w:val="24"/>
          <w:szCs w:val="24"/>
        </w:rPr>
        <w:t xml:space="preserve">. SHAP values </w:t>
      </w:r>
      <w:r>
        <w:rPr/>
        <w:fldChar w:fldCharType="begin"/>
      </w:r>
      <w:r>
        <w:instrText xml:space="preserve"> HYPERLINK \l "ref_shap" </w:instrText>
      </w:r>
      <w:r>
        <w:rPr/>
        <w:fldChar w:fldCharType="separate"/>
      </w:r>
      <w:r>
        <w:rPr>
          <w:rFonts w:ascii="Times New Roman" w:cs="Times New Roman" w:eastAsia="Times New Roman" w:hAnsi="Times New Roman"/>
          <w:color w:val="0563c1"/>
          <w:sz w:val="24"/>
          <w:szCs w:val="24"/>
          <w:u w:val="single"/>
        </w:rPr>
        <w:t>[20]</w:t>
      </w:r>
      <w:r>
        <w:rPr/>
        <w:fldChar w:fldCharType="end"/>
      </w:r>
      <w:r>
        <w:rPr>
          <w:rFonts w:ascii="Times New Roman" w:cs="Times New Roman" w:eastAsia="Times New Roman" w:hAnsi="Times New Roman"/>
          <w:sz w:val="24"/>
          <w:szCs w:val="24"/>
        </w:rPr>
        <w:t xml:space="preserve"> give per-prediction attributions that can be mapped to reason codes.</w:t>
      </w:r>
    </w:p>
    <w:p w14:paraId="71520FD8">
      <w:pPr>
        <w:pStyle w:val="style4107"/>
        <w:keepNext/>
        <w:spacing w:before="200" w:after="120"/>
        <w:rPr/>
      </w:pPr>
      <w:r>
        <w:rPr>
          <w:rFonts w:ascii="Times New Roman" w:cs="Times New Roman" w:eastAsia="Times New Roman" w:hAnsi="Times New Roman"/>
          <w:b/>
          <w:bCs/>
          <w:sz w:val="24"/>
          <w:szCs w:val="24"/>
        </w:rPr>
        <w:t>2.5 Conceptual Framework</w:t>
      </w:r>
    </w:p>
    <w:p w14:paraId="49205C6B">
      <w:pPr>
        <w:pStyle w:val="style0"/>
        <w:spacing w:before="0" w:after="160" w:lineRule="auto" w:line="282"/>
        <w:jc w:val="both"/>
        <w:rPr/>
      </w:pPr>
      <w:r>
        <w:rPr>
          <w:rFonts w:ascii="Times New Roman" w:cs="Times New Roman" w:eastAsia="Times New Roman" w:hAnsi="Times New Roman"/>
          <w:sz w:val="24"/>
          <w:szCs w:val="24"/>
        </w:rPr>
        <w:t xml:space="preserve">The study draws on three ideas. </w:t>
      </w:r>
      <w:r>
        <w:rPr>
          <w:rFonts w:ascii="Times New Roman" w:cs="Times New Roman" w:eastAsia="Times New Roman" w:hAnsi="Times New Roman"/>
          <w:b/>
          <w:bCs/>
          <w:sz w:val="24"/>
          <w:szCs w:val="24"/>
        </w:rPr>
        <w:t>Procedural-compliance risk:</w:t>
      </w:r>
      <w:r>
        <w:rPr>
          <w:rFonts w:ascii="Times New Roman" w:cs="Times New Roman" w:eastAsia="Times New Roman" w:hAnsi="Times New Roman"/>
          <w:sz w:val="24"/>
          <w:szCs w:val="24"/>
        </w:rPr>
        <w:t xml:space="preserve"> a claim is rejected when its record fails eligibility rules on timing, identity, documentation or insured status. </w:t>
      </w:r>
      <w:r>
        <w:rPr>
          <w:rFonts w:ascii="Times New Roman" w:cs="Times New Roman" w:eastAsia="Times New Roman" w:hAnsi="Times New Roman"/>
          <w:b/>
          <w:bCs/>
          <w:sz w:val="24"/>
          <w:szCs w:val="24"/>
        </w:rPr>
        <w:t>Text as a signal of eligibility:</w:t>
      </w:r>
      <w:r>
        <w:rPr>
          <w:rFonts w:ascii="Times New Roman" w:cs="Times New Roman" w:eastAsia="Times New Roman" w:hAnsi="Times New Roman"/>
          <w:sz w:val="24"/>
          <w:szCs w:val="24"/>
        </w:rPr>
        <w:t xml:space="preserve"> how a loss is described, including cause, date and crop stage, is evidence on whether it falls within insured perils and windows. </w:t>
      </w:r>
      <w:r>
        <w:rPr>
          <w:rFonts w:ascii="Times New Roman" w:cs="Times New Roman" w:eastAsia="Times New Roman" w:hAnsi="Times New Roman"/>
          <w:b/>
          <w:bCs/>
          <w:sz w:val="24"/>
          <w:szCs w:val="24"/>
        </w:rPr>
        <w:t>Cost-sensitive decision-making:</w:t>
      </w:r>
      <w:r>
        <w:rPr>
          <w:rFonts w:ascii="Times New Roman" w:cs="Times New Roman" w:eastAsia="Times New Roman" w:hAnsi="Times New Roman"/>
          <w:sz w:val="24"/>
          <w:szCs w:val="24"/>
        </w:rPr>
        <w:t xml:space="preserve"> a missed rejection and an unnecessary alert have unequal costs, so alerts should use a cost-based threshold and not a default of 0.5.</w:t>
      </w:r>
    </w:p>
    <w:p w14:paraId="14E388D2">
      <w:pPr>
        <w:pStyle w:val="style4106"/>
        <w:keepNext/>
        <w:spacing w:before="280" w:after="140"/>
        <w:rPr/>
      </w:pPr>
      <w:r>
        <w:rPr>
          <w:rFonts w:ascii="Times New Roman" w:cs="Times New Roman" w:eastAsia="Times New Roman" w:hAnsi="Times New Roman"/>
          <w:b/>
          <w:bCs/>
          <w:sz w:val="26"/>
          <w:szCs w:val="26"/>
        </w:rPr>
        <w:t>3. Research Gap, Contributions, Objectives and Hypotheses</w:t>
      </w:r>
    </w:p>
    <w:p w14:paraId="CB4A028C">
      <w:pPr>
        <w:pStyle w:val="style4107"/>
        <w:keepNext/>
        <w:spacing w:before="200" w:after="120"/>
        <w:rPr/>
      </w:pPr>
      <w:r>
        <w:rPr>
          <w:rFonts w:ascii="Times New Roman" w:cs="Times New Roman" w:eastAsia="Times New Roman" w:hAnsi="Times New Roman"/>
          <w:b/>
          <w:bCs/>
          <w:sz w:val="24"/>
          <w:szCs w:val="24"/>
        </w:rPr>
        <w:t>3.1 Research Gap</w:t>
      </w:r>
    </w:p>
    <w:p w14:paraId="B5D6B746">
      <w:pPr>
        <w:pStyle w:val="style0"/>
        <w:spacing w:before="0" w:after="160" w:lineRule="auto" w:line="282"/>
        <w:jc w:val="both"/>
        <w:rPr/>
      </w:pPr>
      <w:r>
        <w:rPr>
          <w:rFonts w:ascii="Times New Roman" w:cs="Times New Roman" w:eastAsia="Times New Roman" w:hAnsi="Times New Roman"/>
          <w:sz w:val="24"/>
          <w:szCs w:val="24"/>
        </w:rPr>
        <w:t>On the basis of the sources reviewed for this study, five gaps can be identified. The statements below describe the literature available to the authors and should be re-checked as new work appears.</w:t>
      </w:r>
    </w:p>
    <w:p w14:paraId="A6FA0D3D">
      <w:pPr>
        <w:pStyle w:val="style179"/>
        <w:numPr>
          <w:ilvl w:val="0"/>
          <w:numId w:val="1"/>
        </w:numPr>
        <w:spacing w:after="70" w:lineRule="auto" w:line="282"/>
        <w:jc w:val="both"/>
        <w:rPr/>
      </w:pPr>
      <w:r>
        <w:rPr>
          <w:rFonts w:ascii="Times New Roman" w:cs="Times New Roman" w:eastAsia="Times New Roman" w:hAnsi="Times New Roman"/>
          <w:b/>
          <w:bCs/>
          <w:sz w:val="24"/>
          <w:szCs w:val="24"/>
        </w:rPr>
        <w:t>G1 – No claim-level prediction for PMFBY.</w:t>
      </w:r>
      <w:r>
        <w:rPr>
          <w:rFonts w:ascii="Times New Roman" w:cs="Times New Roman" w:eastAsia="Times New Roman" w:hAnsi="Times New Roman"/>
          <w:sz w:val="24"/>
          <w:szCs w:val="24"/>
        </w:rPr>
        <w:t xml:space="preserve"> PMFBY research is descriptive and aggregate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"ref_punia" </w:instrText>
      </w:r>
      <w:r>
        <w:rPr/>
        <w:fldChar w:fldCharType="separate"/>
      </w:r>
      <w:r>
        <w:rPr>
          <w:rFonts w:ascii="Times New Roman" w:cs="Times New Roman" w:eastAsia="Times New Roman" w:hAnsi="Times New Roman"/>
          <w:color w:val="0563c1"/>
          <w:sz w:val="24"/>
          <w:szCs w:val="24"/>
          <w:u w:val="single"/>
        </w:rPr>
        <w:t>[7]</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we found no published model of individual claim rejection.</w:t>
      </w:r>
    </w:p>
    <w:p w14:paraId="17B10037">
      <w:pPr>
        <w:pStyle w:val="style179"/>
        <w:numPr>
          <w:ilvl w:val="0"/>
          <w:numId w:val="1"/>
        </w:numPr>
        <w:spacing w:after="70" w:lineRule="auto" w:line="282"/>
        <w:jc w:val="both"/>
        <w:rPr/>
      </w:pPr>
      <w:r>
        <w:rPr>
          <w:rFonts w:ascii="Times New Roman" w:cs="Times New Roman" w:eastAsia="Times New Roman" w:hAnsi="Times New Roman"/>
          <w:b/>
          <w:bCs/>
          <w:sz w:val="24"/>
          <w:szCs w:val="24"/>
        </w:rPr>
        <w:t>G2 – Prediction comes after the claim.</w:t>
      </w:r>
      <w:r>
        <w:rPr>
          <w:rFonts w:ascii="Times New Roman" w:cs="Times New Roman" w:eastAsia="Times New Roman" w:hAnsi="Times New Roman"/>
          <w:sz w:val="24"/>
          <w:szCs w:val="24"/>
        </w:rPr>
        <w:t xml:space="preserve"> Denial models operate on filed claims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4"/>
          <w:szCs w:val="24"/>
          <w:u w:val="single"/>
        </w:rPr>
        <w:t>[8]</w:t>
      </w:r>
      <w:r>
        <w:rPr/>
        <w:fldChar w:fldCharType="end"/>
      </w:r>
      <w:r>
        <w:rPr>
          <w:rFonts w:ascii="Times New Roman" w:cs="Times New Roman" w:eastAsia="Times New Roman" w:hAnsi="Times New Roman"/>
          <w:sz w:val="24"/>
          <w:szCs w:val="24"/>
        </w:rPr>
        <w:t>; a pre-emptive model at intimation, when errors can still be corrected, is missing.</w:t>
      </w:r>
    </w:p>
    <w:p w14:paraId="1A3117DA">
      <w:pPr>
        <w:pStyle w:val="style179"/>
        <w:numPr>
          <w:ilvl w:val="0"/>
          <w:numId w:val="1"/>
        </w:numPr>
        <w:spacing w:after="70" w:lineRule="auto" w:line="282"/>
        <w:jc w:val="both"/>
        <w:rPr/>
      </w:pPr>
      <w:r>
        <w:rPr>
          <w:rFonts w:ascii="Times New Roman" w:cs="Times New Roman" w:eastAsia="Times New Roman" w:hAnsi="Times New Roman"/>
          <w:b/>
          <w:bCs/>
          <w:sz w:val="24"/>
          <w:szCs w:val="24"/>
        </w:rPr>
        <w:t>G3 – Text is unused.</w:t>
      </w:r>
      <w:r>
        <w:rPr>
          <w:rFonts w:ascii="Times New Roman" w:cs="Times New Roman" w:eastAsia="Times New Roman" w:hAnsi="Times New Roman"/>
          <w:sz w:val="24"/>
          <w:szCs w:val="24"/>
        </w:rPr>
        <w:t xml:space="preserve"> Denial models use structured codes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4"/>
          <w:szCs w:val="24"/>
          <w:u w:val="single"/>
        </w:rPr>
        <w:t>[8]</w:t>
      </w:r>
      <w:r>
        <w:rPr/>
        <w:fldChar w:fldCharType="end"/>
      </w:r>
      <w:r>
        <w:rPr>
          <w:rFonts w:ascii="Times New Roman" w:cs="Times New Roman" w:eastAsia="Times New Roman" w:hAnsi="Times New Roman"/>
          <w:sz w:val="24"/>
          <w:szCs w:val="24"/>
        </w:rPr>
        <w:t xml:space="preserve">, while PMFBY generates calls, complaints and surveyor remarks. NLP for insurance text exists </w:t>
      </w:r>
      <w:r>
        <w:rPr/>
        <w:fldChar w:fldCharType="begin"/>
      </w:r>
      <w:r>
        <w:instrText xml:space="preserve"> HYPERLINK \l "ref_troxler" </w:instrText>
      </w:r>
      <w:r>
        <w:rPr/>
        <w:fldChar w:fldCharType="separate"/>
      </w:r>
      <w:r>
        <w:rPr>
          <w:rFonts w:ascii="Times New Roman" w:cs="Times New Roman" w:eastAsia="Times New Roman" w:hAnsi="Times New Roman"/>
          <w:color w:val="0563c1"/>
          <w:sz w:val="24"/>
          <w:szCs w:val="24"/>
          <w:u w:val="single"/>
        </w:rPr>
        <w:t>[10]</w:t>
      </w:r>
      <w:r>
        <w:rPr/>
        <w:fldChar w:fldCharType="end"/>
      </w:r>
      <w:r>
        <w:rPr>
          <w:rFonts w:ascii="Times New Roman" w:cs="Times New Roman" w:eastAsia="Times New Roman" w:hAnsi="Times New Roman"/>
          <w:sz w:val="24"/>
          <w:szCs w:val="24"/>
        </w:rPr>
        <w:t xml:space="preserve"> but not for agricultural insurance in Indian languages.</w:t>
      </w:r>
    </w:p>
    <w:p w14:paraId="793B6226">
      <w:pPr>
        <w:pStyle w:val="style179"/>
        <w:numPr>
          <w:ilvl w:val="0"/>
          <w:numId w:val="1"/>
        </w:numPr>
        <w:spacing w:after="70" w:lineRule="auto" w:line="282"/>
        <w:jc w:val="both"/>
        <w:rPr/>
      </w:pPr>
      <w:r>
        <w:rPr>
          <w:rFonts w:ascii="Times New Roman" w:cs="Times New Roman" w:eastAsia="Times New Roman" w:hAnsi="Times New Roman"/>
          <w:b/>
          <w:bCs/>
          <w:sz w:val="24"/>
          <w:szCs w:val="24"/>
        </w:rPr>
        <w:t>G4 – Prediction without action.</w:t>
      </w:r>
      <w:r>
        <w:rPr>
          <w:rFonts w:ascii="Times New Roman" w:cs="Times New Roman" w:eastAsia="Times New Roman" w:hAnsi="Times New Roman"/>
          <w:sz w:val="24"/>
          <w:szCs w:val="24"/>
        </w:rPr>
        <w:t xml:space="preserve"> Existing scores serve administrators; a farmer-protective design that maps risk to correctable causes is missing.</w:t>
      </w:r>
    </w:p>
    <w:p w14:paraId="4917E472">
      <w:pPr>
        <w:pStyle w:val="style179"/>
        <w:numPr>
          <w:ilvl w:val="0"/>
          <w:numId w:val="1"/>
        </w:numPr>
        <w:spacing w:after="70" w:lineRule="auto" w:line="282"/>
        <w:jc w:val="both"/>
        <w:rPr/>
      </w:pPr>
      <w:r>
        <w:rPr>
          <w:rFonts w:ascii="Times New Roman" w:cs="Times New Roman" w:eastAsia="Times New Roman" w:hAnsi="Times New Roman"/>
          <w:b/>
          <w:bCs/>
          <w:sz w:val="24"/>
          <w:szCs w:val="24"/>
        </w:rPr>
        <w:t>G5 – No validation or governance protocol.</w:t>
      </w:r>
      <w:r>
        <w:rPr>
          <w:rFonts w:ascii="Times New Roman" w:cs="Times New Roman" w:eastAsia="Times New Roman" w:hAnsi="Times New Roman"/>
          <w:sz w:val="24"/>
          <w:szCs w:val="24"/>
        </w:rPr>
        <w:t xml:space="preserve"> Some rejections stem from survey delays and clerical errors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so historical labels can encode administrative error; a protocol handling label noise, drift, fairness and data protection is missing.</w:t>
      </w:r>
    </w:p>
    <w:p w14:paraId="BCA73CCB">
      <w:pPr>
        <w:pStyle w:val="style0"/>
        <w:keepNext/>
        <w:spacing w:before="160" w:after="100"/>
        <w:rPr/>
      </w:pPr>
      <w:r>
        <w:rPr>
          <w:rFonts w:ascii="Times New Roman" w:cs="Times New Roman" w:eastAsia="Times New Roman" w:hAnsi="Times New Roman"/>
          <w:b/>
          <w:bCs/>
          <w:sz w:val="24"/>
          <w:szCs w:val="24"/>
        </w:rPr>
        <w:t>Table 2: Summary of Literature and Research Gap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900"/>
        <w:gridCol w:w="2500"/>
        <w:gridCol w:w="2300"/>
        <w:gridCol w:w="2326"/>
      </w:tblGrid>
      <w:tr w14:paraId="2983FB24">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C8E30366">
            <w:pPr>
              <w:pStyle w:val="style0"/>
              <w:spacing w:after="0"/>
              <w:jc w:val="left"/>
              <w:rPr/>
            </w:pPr>
            <w:r>
              <w:rPr>
                <w:rFonts w:ascii="Times New Roman" w:cs="Times New Roman" w:eastAsia="Times New Roman" w:hAnsi="Times New Roman"/>
                <w:b/>
                <w:bCs/>
                <w:sz w:val="20"/>
                <w:szCs w:val="20"/>
              </w:rPr>
              <w:t>Strand</w:t>
            </w:r>
          </w:p>
        </w:tc>
        <w:tc>
          <w:tcPr>
            <w:tcW w:w="2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7D6D70EE">
            <w:pPr>
              <w:pStyle w:val="style0"/>
              <w:spacing w:after="0"/>
              <w:jc w:val="left"/>
              <w:rPr/>
            </w:pPr>
            <w:r>
              <w:rPr>
                <w:rFonts w:ascii="Times New Roman" w:cs="Times New Roman" w:eastAsia="Times New Roman" w:hAnsi="Times New Roman"/>
                <w:b/>
                <w:bCs/>
                <w:sz w:val="20"/>
                <w:szCs w:val="20"/>
              </w:rPr>
              <w:t>What exists</w:t>
            </w:r>
          </w:p>
        </w:tc>
        <w:tc>
          <w:tcPr>
            <w:tcW w:w="23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2777AA48">
            <w:pPr>
              <w:pStyle w:val="style0"/>
              <w:spacing w:after="0"/>
              <w:jc w:val="left"/>
              <w:rPr/>
            </w:pPr>
            <w:r>
              <w:rPr>
                <w:rFonts w:ascii="Times New Roman" w:cs="Times New Roman" w:eastAsia="Times New Roman" w:hAnsi="Times New Roman"/>
                <w:b/>
                <w:bCs/>
                <w:sz w:val="20"/>
                <w:szCs w:val="20"/>
              </w:rPr>
              <w:t>What is missing</w:t>
            </w:r>
          </w:p>
        </w:tc>
        <w:tc>
          <w:tcPr>
            <w:tcW w:w="23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8C338099">
            <w:pPr>
              <w:pStyle w:val="style0"/>
              <w:spacing w:after="0"/>
              <w:jc w:val="left"/>
              <w:rPr/>
            </w:pPr>
            <w:r>
              <w:rPr>
                <w:rFonts w:ascii="Times New Roman" w:cs="Times New Roman" w:eastAsia="Times New Roman" w:hAnsi="Times New Roman"/>
                <w:b/>
                <w:bCs/>
                <w:sz w:val="20"/>
                <w:szCs w:val="20"/>
              </w:rPr>
              <w:t>How this paper responds</w:t>
            </w:r>
          </w:p>
        </w:tc>
      </w:tr>
      <w:tr w14:paraId="4289C3B5">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B100FD7">
            <w:pPr>
              <w:pStyle w:val="style0"/>
              <w:spacing w:after="0"/>
              <w:jc w:val="left"/>
              <w:rPr/>
            </w:pPr>
            <w:r>
              <w:rPr>
                <w:rFonts w:ascii="Times New Roman" w:cs="Times New Roman" w:eastAsia="Times New Roman" w:hAnsi="Times New Roman"/>
                <w:sz w:val="20"/>
                <w:szCs w:val="20"/>
              </w:rPr>
              <w:t xml:space="preserve">PMFBY performance studies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0"/>
                <w:szCs w:val="20"/>
                <w:u w:val="single"/>
              </w:rPr>
              <w:t>[1]</w:t>
            </w:r>
            <w:r>
              <w:rPr/>
              <w:fldChar w:fldCharType="end"/>
            </w:r>
            <w:r>
              <w:rPr>
                <w:rFonts w:ascii="Times New Roman" w:cs="Times New Roman" w:eastAsia="Times New Roman" w:hAnsi="Times New Roman"/>
                <w:sz w:val="20"/>
                <w:szCs w:val="20"/>
              </w:rPr>
              <w:t xml:space="preserve">, </w:t>
            </w:r>
            <w:r>
              <w:rPr/>
              <w:fldChar w:fldCharType="begin"/>
            </w:r>
            <w:r>
              <w:instrText xml:space="preserve"> HYPERLINK \l "ref_punia" </w:instrText>
            </w:r>
            <w:r>
              <w:rPr/>
              <w:fldChar w:fldCharType="separate"/>
            </w:r>
            <w:r>
              <w:rPr>
                <w:rFonts w:ascii="Times New Roman" w:cs="Times New Roman" w:eastAsia="Times New Roman" w:hAnsi="Times New Roman"/>
                <w:color w:val="0563c1"/>
                <w:sz w:val="20"/>
                <w:szCs w:val="20"/>
                <w:u w:val="single"/>
              </w:rPr>
              <w:t>[7]</w:t>
            </w:r>
            <w:r>
              <w:rPr/>
              <w:fldChar w:fldCharType="end"/>
            </w:r>
            <w:r>
              <w:rPr>
                <w:rFonts w:ascii="Times New Roman" w:cs="Times New Roman" w:eastAsia="Times New Roman" w:hAnsi="Times New Roman"/>
                <w:sz w:val="20"/>
                <w:szCs w:val="20"/>
              </w:rPr>
              <w:t xml:space="preserve">,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0"/>
                <w:szCs w:val="20"/>
                <w:u w:val="single"/>
              </w:rPr>
              <w:t>[2]</w:t>
            </w:r>
            <w:r>
              <w:rPr/>
              <w:fldChar w:fldCharType="end"/>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4927324">
            <w:pPr>
              <w:pStyle w:val="style0"/>
              <w:spacing w:after="0"/>
              <w:jc w:val="left"/>
              <w:rPr/>
            </w:pPr>
            <w:r>
              <w:rPr>
                <w:rFonts w:ascii="Times New Roman" w:cs="Times New Roman" w:eastAsia="Times New Roman" w:hAnsi="Times New Roman"/>
                <w:sz w:val="20"/>
                <w:szCs w:val="20"/>
              </w:rPr>
              <w:t>Descriptive evidence of delays, grievances and constraints</w:t>
            </w: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AE3EF0A">
            <w:pPr>
              <w:pStyle w:val="style0"/>
              <w:spacing w:after="0"/>
              <w:jc w:val="left"/>
              <w:rPr/>
            </w:pPr>
            <w:r>
              <w:rPr>
                <w:rFonts w:ascii="Times New Roman" w:cs="Times New Roman" w:eastAsia="Times New Roman" w:hAnsi="Times New Roman"/>
                <w:sz w:val="20"/>
                <w:szCs w:val="20"/>
              </w:rPr>
              <w:t>Claim-level prediction; use of text</w:t>
            </w:r>
          </w:p>
        </w:tc>
        <w:tc>
          <w:tcPr>
            <w:tcW w:w="23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162F8D">
            <w:pPr>
              <w:pStyle w:val="style0"/>
              <w:spacing w:after="0"/>
              <w:jc w:val="left"/>
              <w:rPr/>
            </w:pPr>
            <w:r>
              <w:rPr>
                <w:rFonts w:ascii="Times New Roman" w:cs="Times New Roman" w:eastAsia="Times New Roman" w:hAnsi="Times New Roman"/>
                <w:sz w:val="20"/>
                <w:szCs w:val="20"/>
              </w:rPr>
              <w:t>Defines a claim-level, text-plus-structured prediction task</w:t>
            </w:r>
          </w:p>
        </w:tc>
      </w:tr>
      <w:tr w14:paraId="87B15F17">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2884CA">
            <w:pPr>
              <w:pStyle w:val="style0"/>
              <w:spacing w:after="0"/>
              <w:jc w:val="left"/>
              <w:rPr/>
            </w:pPr>
            <w:r>
              <w:rPr>
                <w:rFonts w:ascii="Times New Roman" w:cs="Times New Roman" w:eastAsia="Times New Roman" w:hAnsi="Times New Roman"/>
                <w:sz w:val="20"/>
                <w:szCs w:val="20"/>
              </w:rPr>
              <w:t xml:space="preserve">Claim denial prediction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0"/>
                <w:szCs w:val="20"/>
                <w:u w:val="single"/>
              </w:rPr>
              <w:t>[8]</w:t>
            </w:r>
            <w:r>
              <w:rPr/>
              <w:fldChar w:fldCharType="end"/>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8EE2B39E">
            <w:pPr>
              <w:pStyle w:val="style0"/>
              <w:spacing w:after="0"/>
              <w:jc w:val="left"/>
              <w:rPr/>
            </w:pPr>
            <w:r>
              <w:rPr>
                <w:rFonts w:ascii="Times New Roman" w:cs="Times New Roman" w:eastAsia="Times New Roman" w:hAnsi="Times New Roman"/>
                <w:sz w:val="20"/>
                <w:szCs w:val="20"/>
              </w:rPr>
              <w:t>Deep models on structured health claims</w:t>
            </w: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9C17E7">
            <w:pPr>
              <w:pStyle w:val="style0"/>
              <w:spacing w:after="0"/>
              <w:jc w:val="left"/>
              <w:rPr/>
            </w:pPr>
            <w:r>
              <w:rPr>
                <w:rFonts w:ascii="Times New Roman" w:cs="Times New Roman" w:eastAsia="Times New Roman" w:hAnsi="Times New Roman"/>
                <w:sz w:val="20"/>
                <w:szCs w:val="20"/>
              </w:rPr>
              <w:t>Agricultural insurance; pre-emptive timing; farmer text</w:t>
            </w:r>
          </w:p>
        </w:tc>
        <w:tc>
          <w:tcPr>
            <w:tcW w:w="23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D2EE87">
            <w:pPr>
              <w:pStyle w:val="style0"/>
              <w:spacing w:after="0"/>
              <w:jc w:val="left"/>
              <w:rPr/>
            </w:pPr>
            <w:r>
              <w:rPr>
                <w:rFonts w:ascii="Times New Roman" w:cs="Times New Roman" w:eastAsia="Times New Roman" w:hAnsi="Times New Roman"/>
                <w:sz w:val="20"/>
                <w:szCs w:val="20"/>
              </w:rPr>
              <w:t>Specifies prediction at the intimation stage with multilingual text</w:t>
            </w:r>
          </w:p>
        </w:tc>
      </w:tr>
      <w:tr w14:paraId="82DB4874">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E311F9">
            <w:pPr>
              <w:pStyle w:val="style0"/>
              <w:spacing w:after="0"/>
              <w:jc w:val="left"/>
              <w:rPr/>
            </w:pPr>
            <w:r>
              <w:rPr>
                <w:rFonts w:ascii="Times New Roman" w:cs="Times New Roman" w:eastAsia="Times New Roman" w:hAnsi="Times New Roman"/>
                <w:sz w:val="20"/>
                <w:szCs w:val="20"/>
              </w:rPr>
              <w:t xml:space="preserve">NLP for insurance </w:t>
            </w:r>
            <w:r>
              <w:rPr/>
              <w:fldChar w:fldCharType="begin"/>
            </w:r>
            <w:r>
              <w:instrText xml:space="preserve"> HYPERLINK \l "ref_troxler" </w:instrText>
            </w:r>
            <w:r>
              <w:rPr/>
              <w:fldChar w:fldCharType="separate"/>
            </w:r>
            <w:r>
              <w:rPr>
                <w:rFonts w:ascii="Times New Roman" w:cs="Times New Roman" w:eastAsia="Times New Roman" w:hAnsi="Times New Roman"/>
                <w:color w:val="0563c1"/>
                <w:sz w:val="20"/>
                <w:szCs w:val="20"/>
                <w:u w:val="single"/>
              </w:rPr>
              <w:t>[10]</w:t>
            </w:r>
            <w:r>
              <w:rPr/>
              <w:fldChar w:fldCharType="end"/>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AC99D6">
            <w:pPr>
              <w:pStyle w:val="style0"/>
              <w:spacing w:after="0"/>
              <w:jc w:val="left"/>
              <w:rPr/>
            </w:pPr>
            <w:r>
              <w:rPr>
                <w:rFonts w:ascii="Times New Roman" w:cs="Times New Roman" w:eastAsia="Times New Roman" w:hAnsi="Times New Roman"/>
                <w:sz w:val="20"/>
                <w:szCs w:val="20"/>
              </w:rPr>
              <w:t>Transformer features for actuarial tasks</w:t>
            </w: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CAE29BAB">
            <w:pPr>
              <w:pStyle w:val="style0"/>
              <w:spacing w:after="0"/>
              <w:jc w:val="left"/>
              <w:rPr/>
            </w:pPr>
            <w:r>
              <w:rPr>
                <w:rFonts w:ascii="Times New Roman" w:cs="Times New Roman" w:eastAsia="Times New Roman" w:hAnsi="Times New Roman"/>
                <w:sz w:val="20"/>
                <w:szCs w:val="20"/>
              </w:rPr>
              <w:t>Indian-language, code-mixed, farmer-written text</w:t>
            </w:r>
          </w:p>
        </w:tc>
        <w:tc>
          <w:tcPr>
            <w:tcW w:w="23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D10771F7">
            <w:pPr>
              <w:pStyle w:val="style0"/>
              <w:spacing w:after="0"/>
              <w:jc w:val="left"/>
              <w:rPr/>
            </w:pPr>
            <w:r>
              <w:rPr>
                <w:rFonts w:ascii="Times New Roman" w:cs="Times New Roman" w:eastAsia="Times New Roman" w:hAnsi="Times New Roman"/>
                <w:sz w:val="20"/>
                <w:szCs w:val="20"/>
              </w:rPr>
              <w:t>Proposes MuRIL / Indic encoders with a TF-IDF baseline</w:t>
            </w:r>
          </w:p>
        </w:tc>
      </w:tr>
      <w:tr w14:paraId="9089992F">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C1D03D08">
            <w:pPr>
              <w:pStyle w:val="style0"/>
              <w:spacing w:after="0"/>
              <w:jc w:val="left"/>
              <w:rPr/>
            </w:pPr>
            <w:r>
              <w:rPr>
                <w:rFonts w:ascii="Times New Roman" w:cs="Times New Roman" w:eastAsia="Times New Roman" w:hAnsi="Times New Roman"/>
                <w:sz w:val="20"/>
                <w:szCs w:val="20"/>
              </w:rPr>
              <w:t xml:space="preserve">Interpretability and governance </w:t>
            </w:r>
            <w:r>
              <w:rPr/>
              <w:fldChar w:fldCharType="begin"/>
            </w:r>
            <w:r>
              <w:instrText xml:space="preserve"> HYPERLINK \l "ref_shap" </w:instrText>
            </w:r>
            <w:r>
              <w:rPr/>
              <w:fldChar w:fldCharType="separate"/>
            </w:r>
            <w:r>
              <w:rPr>
                <w:rFonts w:ascii="Times New Roman" w:cs="Times New Roman" w:eastAsia="Times New Roman" w:hAnsi="Times New Roman"/>
                <w:color w:val="0563c1"/>
                <w:sz w:val="20"/>
                <w:szCs w:val="20"/>
                <w:u w:val="single"/>
              </w:rPr>
              <w:t>[20]</w:t>
            </w:r>
            <w:r>
              <w:rPr/>
              <w:fldChar w:fldCharType="end"/>
            </w:r>
            <w:r>
              <w:rPr>
                <w:rFonts w:ascii="Times New Roman" w:cs="Times New Roman" w:eastAsia="Times New Roman" w:hAnsi="Times New Roman"/>
                <w:sz w:val="20"/>
                <w:szCs w:val="20"/>
              </w:rPr>
              <w:t xml:space="preserve">, </w:t>
            </w:r>
            <w:r>
              <w:rPr/>
              <w:fldChar w:fldCharType="begin"/>
            </w:r>
            <w:r>
              <w:instrText xml:space="preserve"> HYPERLINK \l "ref_doshi" </w:instrText>
            </w:r>
            <w:r>
              <w:rPr/>
              <w:fldChar w:fldCharType="separate"/>
            </w:r>
            <w:r>
              <w:rPr>
                <w:rFonts w:ascii="Times New Roman" w:cs="Times New Roman" w:eastAsia="Times New Roman" w:hAnsi="Times New Roman"/>
                <w:color w:val="0563c1"/>
                <w:sz w:val="20"/>
                <w:szCs w:val="20"/>
                <w:u w:val="single"/>
              </w:rPr>
              <w:t>[21]</w:t>
            </w:r>
            <w:r>
              <w:rPr/>
              <w:fldChar w:fldCharType="end"/>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60AAF5">
            <w:pPr>
              <w:pStyle w:val="style0"/>
              <w:spacing w:after="0"/>
              <w:jc w:val="left"/>
              <w:rPr/>
            </w:pPr>
            <w:r>
              <w:rPr>
                <w:rFonts w:ascii="Times New Roman" w:cs="Times New Roman" w:eastAsia="Times New Roman" w:hAnsi="Times New Roman"/>
                <w:sz w:val="20"/>
                <w:szCs w:val="20"/>
              </w:rPr>
              <w:t>Generic attribution methods</w:t>
            </w: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C827D64">
            <w:pPr>
              <w:pStyle w:val="style0"/>
              <w:spacing w:after="0"/>
              <w:jc w:val="left"/>
              <w:rPr/>
            </w:pPr>
            <w:r>
              <w:rPr>
                <w:rFonts w:ascii="Times New Roman" w:cs="Times New Roman" w:eastAsia="Times New Roman" w:hAnsi="Times New Roman"/>
                <w:sz w:val="20"/>
                <w:szCs w:val="20"/>
              </w:rPr>
              <w:t>Mapping to correctable reason codes; label-noise and fairness protocol</w:t>
            </w:r>
          </w:p>
        </w:tc>
        <w:tc>
          <w:tcPr>
            <w:tcW w:w="23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C97C05">
            <w:pPr>
              <w:pStyle w:val="style0"/>
              <w:spacing w:after="0"/>
              <w:jc w:val="left"/>
              <w:rPr/>
            </w:pPr>
            <w:r>
              <w:rPr>
                <w:rFonts w:ascii="Times New Roman" w:cs="Times New Roman" w:eastAsia="Times New Roman" w:hAnsi="Times New Roman"/>
                <w:sz w:val="20"/>
                <w:szCs w:val="20"/>
              </w:rPr>
              <w:t>Reason-code taxonomy, audit of label validity, fairness slices, human review</w:t>
            </w:r>
          </w:p>
        </w:tc>
      </w:tr>
    </w:tbl>
    <w:p w14:paraId="D9CD8753">
      <w:pPr>
        <w:pStyle w:val="style0"/>
        <w:spacing w:after="0" w:lineRule="exact" w:line="120"/>
        <w:rPr/>
      </w:pPr>
    </w:p>
    <w:p w14:paraId="A5CA1523">
      <w:pPr>
        <w:pStyle w:val="style4107"/>
        <w:keepNext/>
        <w:spacing w:before="200" w:after="120"/>
        <w:rPr/>
      </w:pPr>
      <w:r>
        <w:rPr>
          <w:rFonts w:ascii="Times New Roman" w:cs="Times New Roman" w:eastAsia="Times New Roman" w:hAnsi="Times New Roman"/>
          <w:b/>
          <w:bCs/>
          <w:sz w:val="24"/>
          <w:szCs w:val="24"/>
        </w:rPr>
        <w:t>3.2 Intended Contribution of this Paper</w:t>
      </w:r>
    </w:p>
    <w:p w14:paraId="8C9B9526">
      <w:pPr>
        <w:pStyle w:val="style0"/>
        <w:spacing w:before="0" w:after="160" w:lineRule="auto" w:line="282"/>
        <w:jc w:val="both"/>
        <w:rPr/>
      </w:pPr>
      <w:r>
        <w:rPr>
          <w:rFonts w:ascii="Times New Roman" w:cs="Times New Roman" w:eastAsia="Times New Roman" w:hAnsi="Times New Roman"/>
          <w:sz w:val="24"/>
          <w:szCs w:val="24"/>
        </w:rPr>
        <w:t>The paper makes four contributions that are new relative to the sources reviewed:</w:t>
      </w:r>
    </w:p>
    <w:p w14:paraId="1F74E153">
      <w:pPr>
        <w:pStyle w:val="style179"/>
        <w:numPr>
          <w:ilvl w:val="0"/>
          <w:numId w:val="1"/>
        </w:numPr>
        <w:spacing w:after="70" w:lineRule="auto" w:line="282"/>
        <w:jc w:val="both"/>
        <w:rPr/>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rejection-driver taxonomy</w:t>
      </w:r>
      <w:r>
        <w:rPr>
          <w:rFonts w:ascii="Times New Roman" w:cs="Times New Roman" w:eastAsia="Times New Roman" w:hAnsi="Times New Roman"/>
          <w:sz w:val="24"/>
          <w:szCs w:val="24"/>
        </w:rPr>
        <w:t xml:space="preserve"> for PMFBY built from parliamentary, committee and field-report evidence and linked to data signals (Section 4.3).</w:t>
      </w:r>
    </w:p>
    <w:p w14:paraId="B1790608">
      <w:pPr>
        <w:pStyle w:val="style179"/>
        <w:numPr>
          <w:ilvl w:val="0"/>
          <w:numId w:val="1"/>
        </w:numPr>
        <w:spacing w:after="70" w:lineRule="auto" w:line="282"/>
        <w:jc w:val="both"/>
        <w:rPr/>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two-stage pre-emptive architecture</w:t>
      </w:r>
      <w:r>
        <w:rPr>
          <w:rFonts w:ascii="Times New Roman" w:cs="Times New Roman" w:eastAsia="Times New Roman" w:hAnsi="Times New Roman"/>
          <w:sz w:val="24"/>
          <w:szCs w:val="24"/>
        </w:rPr>
        <w:t xml:space="preserve"> that turns multilingual text into structured signals, such as loss date and intimation lag, and fuses them with policy and timing covariates (Sections 4.5–4.6).</w:t>
      </w:r>
    </w:p>
    <w:p w14:paraId="C78F07BE">
      <w:pPr>
        <w:pStyle w:val="style179"/>
        <w:numPr>
          <w:ilvl w:val="0"/>
          <w:numId w:val="1"/>
        </w:numPr>
        <w:spacing w:after="70" w:lineRule="auto" w:line="282"/>
        <w:jc w:val="both"/>
        <w:rPr/>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leakage-aware, cost-sensitive and fairness-aware evaluation protocol</w:t>
      </w:r>
      <w:r>
        <w:rPr>
          <w:rFonts w:ascii="Times New Roman" w:cs="Times New Roman" w:eastAsia="Times New Roman" w:hAnsi="Times New Roman"/>
          <w:sz w:val="24"/>
          <w:szCs w:val="24"/>
        </w:rPr>
        <w:t xml:space="preserve"> with an audit of label validity, so the model does not copy wrongful rejections (Section 4.7).</w:t>
      </w:r>
    </w:p>
    <w:p w14:paraId="6DE7D3DD">
      <w:pPr>
        <w:pStyle w:val="style179"/>
        <w:numPr>
          <w:ilvl w:val="0"/>
          <w:numId w:val="1"/>
        </w:numPr>
        <w:spacing w:after="70" w:lineRule="auto" w:line="282"/>
        <w:jc w:val="both"/>
        <w:rPr/>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farmer-protective governance design</w:t>
      </w:r>
      <w:r>
        <w:rPr>
          <w:rFonts w:ascii="Times New Roman" w:cs="Times New Roman" w:eastAsia="Times New Roman" w:hAnsi="Times New Roman"/>
          <w:sz w:val="24"/>
          <w:szCs w:val="24"/>
        </w:rPr>
        <w:t xml:space="preserve"> with explainable reason codes, mandatory human review and no automated denial (Sections 4.8 and 4.9).</w:t>
      </w:r>
    </w:p>
    <w:p w14:paraId="0E9AA201">
      <w:pPr>
        <w:pStyle w:val="style4107"/>
        <w:keepNext/>
        <w:spacing w:before="200" w:after="120"/>
        <w:rPr/>
      </w:pPr>
      <w:r>
        <w:rPr>
          <w:rFonts w:ascii="Times New Roman" w:cs="Times New Roman" w:eastAsia="Times New Roman" w:hAnsi="Times New Roman"/>
          <w:b/>
          <w:bCs/>
          <w:sz w:val="24"/>
          <w:szCs w:val="24"/>
        </w:rPr>
        <w:t>3.3 Objectives of the Study</w:t>
      </w:r>
    </w:p>
    <w:p w14:paraId="2C779621">
      <w:pPr>
        <w:pStyle w:val="style179"/>
        <w:numPr>
          <w:ilvl w:val="0"/>
          <w:numId w:val="3"/>
        </w:numPr>
        <w:spacing w:after="70" w:lineRule="auto" w:line="282"/>
        <w:jc w:val="both"/>
        <w:rPr/>
      </w:pPr>
      <w:r>
        <w:rPr>
          <w:rFonts w:ascii="Times New Roman" w:cs="Times New Roman" w:eastAsia="Times New Roman" w:hAnsi="Times New Roman"/>
          <w:sz w:val="24"/>
          <w:szCs w:val="24"/>
        </w:rPr>
        <w:t>To identify and organise the documented drivers of PMFBY claim rejection and delay into an operational taxonomy.</w:t>
      </w:r>
    </w:p>
    <w:p w14:paraId="8E4C98BF">
      <w:pPr>
        <w:pStyle w:val="style179"/>
        <w:numPr>
          <w:ilvl w:val="0"/>
          <w:numId w:val="3"/>
        </w:numPr>
        <w:spacing w:after="70" w:lineRule="auto" w:line="282"/>
        <w:jc w:val="both"/>
        <w:rPr/>
      </w:pPr>
      <w:r>
        <w:rPr>
          <w:rFonts w:ascii="Times New Roman" w:cs="Times New Roman" w:eastAsia="Times New Roman" w:hAnsi="Times New Roman"/>
          <w:sz w:val="24"/>
          <w:szCs w:val="24"/>
        </w:rPr>
        <w:t>To design an NLP pipeline that extracts rejection-relevant signals from farmer-submitted and officer-recorded text in multiple Indian languages.</w:t>
      </w:r>
    </w:p>
    <w:p w14:paraId="AE2BB74C">
      <w:pPr>
        <w:pStyle w:val="style179"/>
        <w:numPr>
          <w:ilvl w:val="0"/>
          <w:numId w:val="3"/>
        </w:numPr>
        <w:spacing w:after="70" w:lineRule="auto" w:line="282"/>
        <w:jc w:val="both"/>
        <w:rPr/>
      </w:pPr>
      <w:r>
        <w:rPr>
          <w:rFonts w:ascii="Times New Roman" w:cs="Times New Roman" w:eastAsia="Times New Roman" w:hAnsi="Times New Roman"/>
          <w:sz w:val="24"/>
          <w:szCs w:val="24"/>
        </w:rPr>
        <w:t>To design a calibrated, cost-sensitive risk model that combines text-derived and structured features to estimate rejection probability at the intimation stage.</w:t>
      </w:r>
    </w:p>
    <w:p w14:paraId="06076655">
      <w:pPr>
        <w:pStyle w:val="style179"/>
        <w:numPr>
          <w:ilvl w:val="0"/>
          <w:numId w:val="3"/>
        </w:numPr>
        <w:spacing w:after="70" w:lineRule="auto" w:line="282"/>
        <w:jc w:val="both"/>
        <w:rPr/>
      </w:pPr>
      <w:r>
        <w:rPr>
          <w:rFonts w:ascii="Times New Roman" w:cs="Times New Roman" w:eastAsia="Times New Roman" w:hAnsi="Times New Roman"/>
          <w:sz w:val="24"/>
          <w:szCs w:val="24"/>
        </w:rPr>
        <w:t>To specify an evaluation and governance protocol that tests accuracy, calibration, fairness and label validity before any operational use.</w:t>
      </w:r>
    </w:p>
    <w:p w14:paraId="BBE62635">
      <w:pPr>
        <w:pStyle w:val="style4107"/>
        <w:keepNext/>
        <w:spacing w:before="200" w:after="120"/>
        <w:rPr/>
      </w:pPr>
      <w:r>
        <w:rPr>
          <w:rFonts w:ascii="Times New Roman" w:cs="Times New Roman" w:eastAsia="Times New Roman" w:hAnsi="Times New Roman"/>
          <w:b/>
          <w:bCs/>
          <w:sz w:val="24"/>
          <w:szCs w:val="24"/>
        </w:rPr>
        <w:t>3.4 Research Questions and Testable Hypotheses</w:t>
      </w:r>
    </w:p>
    <w:p w14:paraId="B9B16DFB">
      <w:pPr>
        <w:pStyle w:val="style0"/>
        <w:spacing w:before="0" w:after="160" w:lineRule="auto" w:line="282"/>
        <w:jc w:val="both"/>
        <w:rPr/>
      </w:pPr>
      <w:r>
        <w:rPr>
          <w:rFonts w:ascii="Times New Roman" w:cs="Times New Roman" w:eastAsia="Times New Roman" w:hAnsi="Times New Roman"/>
          <w:sz w:val="24"/>
          <w:szCs w:val="24"/>
        </w:rPr>
        <w:t>The following hypotheses are specified for the empirical phase that this paper prepares. They are stated in null form, and no result is reported here.</w:t>
      </w:r>
    </w:p>
    <w:p w14:paraId="9CB6DF35">
      <w:pPr>
        <w:pStyle w:val="style0"/>
        <w:spacing w:before="0" w:after="80" w:lineRule="auto" w:line="282"/>
        <w:jc w:val="both"/>
        <w:rPr/>
      </w:pPr>
      <w:r>
        <w:rPr>
          <w:rFonts w:ascii="Times New Roman" w:cs="Times New Roman" w:eastAsia="Times New Roman" w:hAnsi="Times New Roman"/>
          <w:b/>
          <w:bCs/>
          <w:sz w:val="24"/>
          <w:szCs w:val="24"/>
        </w:rPr>
        <w:t>H01 / H11:</w:t>
      </w:r>
      <w:r>
        <w:rPr>
          <w:rFonts w:ascii="Times New Roman" w:cs="Times New Roman" w:eastAsia="Times New Roman" w:hAnsi="Times New Roman"/>
          <w:sz w:val="24"/>
          <w:szCs w:val="24"/>
        </w:rPr>
        <w:t xml:space="preserve"> Adding text-derived features does not (H01) / does (H11) improve precision-recall performance over a structured-only model.</w:t>
      </w:r>
    </w:p>
    <w:p w14:paraId="701A6B83">
      <w:pPr>
        <w:pStyle w:val="style0"/>
        <w:spacing w:before="0" w:after="80" w:lineRule="auto" w:line="282"/>
        <w:jc w:val="both"/>
        <w:rPr/>
      </w:pPr>
      <w:r>
        <w:rPr>
          <w:rFonts w:ascii="Times New Roman" w:cs="Times New Roman" w:eastAsia="Times New Roman" w:hAnsi="Times New Roman"/>
          <w:b/>
          <w:bCs/>
          <w:sz w:val="24"/>
          <w:szCs w:val="24"/>
        </w:rPr>
        <w:t>H02 / H12:</w:t>
      </w:r>
      <w:r>
        <w:rPr>
          <w:rFonts w:ascii="Times New Roman" w:cs="Times New Roman" w:eastAsia="Times New Roman" w:hAnsi="Times New Roman"/>
          <w:sz w:val="24"/>
          <w:szCs w:val="24"/>
        </w:rPr>
        <w:t xml:space="preserve"> A multilingual transformer encoder does not (H02) / does (H12) outperform a TF-IDF baseline on the text component.</w:t>
      </w:r>
    </w:p>
    <w:p w14:paraId="BDCF54C8">
      <w:pPr>
        <w:pStyle w:val="style0"/>
        <w:spacing w:before="0" w:after="80" w:lineRule="auto" w:line="282"/>
        <w:jc w:val="both"/>
        <w:rPr/>
      </w:pPr>
      <w:r>
        <w:rPr>
          <w:rFonts w:ascii="Times New Roman" w:cs="Times New Roman" w:eastAsia="Times New Roman" w:hAnsi="Times New Roman"/>
          <w:b/>
          <w:bCs/>
          <w:sz w:val="24"/>
          <w:szCs w:val="24"/>
        </w:rPr>
        <w:t>H03 / H13:</w:t>
      </w:r>
      <w:r>
        <w:rPr>
          <w:rFonts w:ascii="Times New Roman" w:cs="Times New Roman" w:eastAsia="Times New Roman" w:hAnsi="Times New Roman"/>
          <w:sz w:val="24"/>
          <w:szCs w:val="24"/>
        </w:rPr>
        <w:t xml:space="preserve"> Model error rates do not (H03) / do (H13) differ significantly across states, crops, language groups or borrower status.</w:t>
      </w:r>
    </w:p>
    <w:p w14:paraId="EF030CB1">
      <w:pPr>
        <w:pStyle w:val="style0"/>
        <w:spacing w:before="0" w:after="160" w:lineRule="auto" w:line="282"/>
        <w:jc w:val="both"/>
        <w:rPr/>
      </w:pPr>
      <w:r>
        <w:rPr>
          <w:rFonts w:ascii="Times New Roman" w:cs="Times New Roman" w:eastAsia="Times New Roman" w:hAnsi="Times New Roman"/>
          <w:b/>
          <w:bCs/>
          <w:sz w:val="24"/>
          <w:szCs w:val="24"/>
        </w:rPr>
        <w:t>H04 / H14:</w:t>
      </w:r>
      <w:r>
        <w:rPr>
          <w:rFonts w:ascii="Times New Roman" w:cs="Times New Roman" w:eastAsia="Times New Roman" w:hAnsi="Times New Roman"/>
          <w:sz w:val="24"/>
          <w:szCs w:val="24"/>
        </w:rPr>
        <w:t xml:space="preserve"> Predicted-risk claims are not (H04) / are (H14) more likely than other claims to be linked to a correctable procedural cause.</w:t>
      </w:r>
    </w:p>
    <w:p w14:paraId="B630D6CB">
      <w:pPr>
        <w:pStyle w:val="style4106"/>
        <w:keepNext/>
        <w:spacing w:before="280" w:after="140"/>
        <w:rPr/>
      </w:pPr>
      <w:r>
        <w:rPr>
          <w:rFonts w:ascii="Times New Roman" w:cs="Times New Roman" w:eastAsia="Times New Roman" w:hAnsi="Times New Roman"/>
          <w:b/>
          <w:bCs/>
          <w:sz w:val="26"/>
          <w:szCs w:val="26"/>
        </w:rPr>
        <w:t>4. Proposed Research Methodology</w:t>
      </w:r>
    </w:p>
    <w:p w14:paraId="92B72F9D">
      <w:pPr>
        <w:pStyle w:val="style4107"/>
        <w:keepNext/>
        <w:spacing w:before="200" w:after="120"/>
        <w:rPr/>
      </w:pPr>
      <w:r>
        <w:rPr>
          <w:rFonts w:ascii="Times New Roman" w:cs="Times New Roman" w:eastAsia="Times New Roman" w:hAnsi="Times New Roman"/>
          <w:b/>
          <w:bCs/>
          <w:sz w:val="24"/>
          <w:szCs w:val="24"/>
        </w:rPr>
        <w:t>4.1 Research Design</w:t>
      </w:r>
    </w:p>
    <w:p w14:paraId="622191AD">
      <w:pPr>
        <w:pStyle w:val="style0"/>
        <w:spacing w:before="0" w:after="160" w:lineRule="auto" w:line="282"/>
        <w:jc w:val="both"/>
        <w:rPr/>
      </w:pPr>
      <w:r>
        <w:rPr>
          <w:rFonts w:ascii="Times New Roman" w:cs="Times New Roman" w:eastAsia="Times New Roman" w:hAnsi="Times New Roman"/>
          <w:sz w:val="24"/>
          <w:szCs w:val="24"/>
        </w:rPr>
        <w:t xml:space="preserve">The study adopts a quantitative, retrospective, supervised-learning design with PMFBY as the case. The unit of analysis is a claim intimation, and the target is R = 1 if the claim is finally rejected or closed without payment and R = 0 otherwise. Partial approval is a separate label in an extension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All inputs must be available at or shortly after intimation, so the model can act before final assessment.</w:t>
      </w:r>
    </w:p>
    <w:p w14:paraId="686169CD">
      <w:pPr>
        <w:pStyle w:val="style4107"/>
        <w:keepNext/>
        <w:spacing w:before="200" w:after="120"/>
        <w:rPr/>
      </w:pPr>
      <w:r>
        <w:rPr>
          <w:rFonts w:ascii="Times New Roman" w:cs="Times New Roman" w:eastAsia="Times New Roman" w:hAnsi="Times New Roman"/>
          <w:b/>
          <w:bCs/>
          <w:sz w:val="24"/>
          <w:szCs w:val="24"/>
        </w:rPr>
        <w:t>4.2 Data Sources and Access</w:t>
      </w:r>
    </w:p>
    <w:p w14:paraId="A03C6DB5">
      <w:pPr>
        <w:pStyle w:val="style0"/>
        <w:spacing w:before="0" w:after="160" w:lineRule="auto" w:line="282"/>
        <w:jc w:val="both"/>
        <w:rPr/>
      </w:pPr>
      <w:r>
        <w:rPr>
          <w:rFonts w:ascii="Times New Roman" w:cs="Times New Roman" w:eastAsia="Times New Roman" w:hAnsi="Times New Roman"/>
          <w:sz w:val="24"/>
          <w:szCs w:val="24"/>
        </w:rPr>
        <w:t xml:space="preserve">The framework is designed for four classes of data, each needing formal access through the Ministry, state nodal agencies or insurers: (a) claim and policy records from the National Crop Insurance Portal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xml:space="preserve">; (b) grievance records from the Ministry's grievance platform </w:t>
      </w:r>
      <w:r>
        <w:rPr/>
        <w:fldChar w:fldCharType="begin"/>
      </w:r>
      <w:r>
        <w:instrText xml:space="preserve"> HYPERLINK \l "ref_ls" </w:instrText>
      </w:r>
      <w:r>
        <w:rPr/>
        <w:fldChar w:fldCharType="separate"/>
      </w:r>
      <w:r>
        <w:rPr>
          <w:rFonts w:ascii="Times New Roman" w:cs="Times New Roman" w:eastAsia="Times New Roman" w:hAnsi="Times New Roman"/>
          <w:color w:val="0563c1"/>
          <w:sz w:val="24"/>
          <w:szCs w:val="24"/>
          <w:u w:val="single"/>
        </w:rPr>
        <w:t>[4]</w:t>
      </w:r>
      <w:r>
        <w:rPr/>
        <w:fldChar w:fldCharType="end"/>
      </w:r>
      <w:r>
        <w:rPr>
          <w:rFonts w:ascii="Times New Roman" w:cs="Times New Roman" w:eastAsia="Times New Roman" w:hAnsi="Times New Roman"/>
          <w:sz w:val="24"/>
          <w:szCs w:val="24"/>
        </w:rPr>
        <w:t xml:space="preserve">; (c) intimation texts, call transcripts and surveyor remarks; and (d) district monitoring committee minutes of the kind reported in the press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This paper reports no analysis of such data.</w:t>
      </w:r>
    </w:p>
    <w:p w14:paraId="316C1383">
      <w:pPr>
        <w:pStyle w:val="style4107"/>
        <w:keepNext/>
        <w:spacing w:before="200" w:after="120"/>
        <w:rPr/>
      </w:pPr>
      <w:r>
        <w:rPr>
          <w:rFonts w:ascii="Times New Roman" w:cs="Times New Roman" w:eastAsia="Times New Roman" w:hAnsi="Times New Roman"/>
          <w:b/>
          <w:bCs/>
          <w:sz w:val="24"/>
          <w:szCs w:val="24"/>
        </w:rPr>
        <w:t>4.3 Rejection-Driver Taxonomy</w:t>
      </w:r>
    </w:p>
    <w:p w14:paraId="88632EA1">
      <w:pPr>
        <w:pStyle w:val="style0"/>
        <w:spacing w:before="0" w:after="160" w:lineRule="auto" w:line="282"/>
        <w:jc w:val="both"/>
        <w:rPr/>
      </w:pPr>
      <w:r>
        <w:rPr>
          <w:rFonts w:ascii="Times New Roman" w:cs="Times New Roman" w:eastAsia="Times New Roman" w:hAnsi="Times New Roman"/>
          <w:sz w:val="24"/>
          <w:szCs w:val="24"/>
        </w:rPr>
        <w:t>Table 3 organises the drivers documented in the sources into categories that can be linked to observable data signals. The taxonomy is the basis for the reason codes in Section 4.8.</w:t>
      </w:r>
    </w:p>
    <w:p w14:paraId="CB22D3E7">
      <w:pPr>
        <w:pStyle w:val="style0"/>
        <w:keepNext/>
        <w:spacing w:before="160" w:after="100"/>
        <w:rPr/>
      </w:pPr>
      <w:r>
        <w:rPr>
          <w:rFonts w:ascii="Times New Roman" w:cs="Times New Roman" w:eastAsia="Times New Roman" w:hAnsi="Times New Roman"/>
          <w:b/>
          <w:bCs/>
          <w:sz w:val="24"/>
          <w:szCs w:val="24"/>
        </w:rPr>
        <w:t>Table 3: Rejection and Delay Driver Taxonomy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900"/>
        <w:gridCol w:w="3300"/>
        <w:gridCol w:w="1900"/>
        <w:gridCol w:w="1926"/>
      </w:tblGrid>
      <w:tr w14:paraId="ED8C1A09">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74C5C1E1">
            <w:pPr>
              <w:pStyle w:val="style0"/>
              <w:spacing w:after="0"/>
              <w:jc w:val="left"/>
              <w:rPr/>
            </w:pPr>
            <w:r>
              <w:rPr>
                <w:rFonts w:ascii="Times New Roman" w:cs="Times New Roman" w:eastAsia="Times New Roman" w:hAnsi="Times New Roman"/>
                <w:b/>
                <w:bCs/>
                <w:sz w:val="20"/>
                <w:szCs w:val="20"/>
              </w:rPr>
              <w:t>Category</w:t>
            </w:r>
          </w:p>
        </w:tc>
        <w:tc>
          <w:tcPr>
            <w:tcW w:w="33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FF4CE035">
            <w:pPr>
              <w:pStyle w:val="style0"/>
              <w:spacing w:after="0"/>
              <w:jc w:val="left"/>
              <w:rPr/>
            </w:pPr>
            <w:r>
              <w:rPr>
                <w:rFonts w:ascii="Times New Roman" w:cs="Times New Roman" w:eastAsia="Times New Roman" w:hAnsi="Times New Roman"/>
                <w:b/>
                <w:bCs/>
                <w:sz w:val="20"/>
                <w:szCs w:val="20"/>
              </w:rPr>
              <w:t>Documented or rule-based drivers</w:t>
            </w:r>
          </w:p>
        </w:tc>
        <w:tc>
          <w:tcPr>
            <w:tcW w:w="1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3026450E">
            <w:pPr>
              <w:pStyle w:val="style0"/>
              <w:spacing w:after="0"/>
              <w:jc w:val="left"/>
              <w:rPr/>
            </w:pPr>
            <w:r>
              <w:rPr>
                <w:rFonts w:ascii="Times New Roman" w:cs="Times New Roman" w:eastAsia="Times New Roman" w:hAnsi="Times New Roman"/>
                <w:b/>
                <w:bCs/>
                <w:sz w:val="20"/>
                <w:szCs w:val="20"/>
              </w:rPr>
              <w:t>Data signal</w:t>
            </w:r>
          </w:p>
        </w:tc>
        <w:tc>
          <w:tcPr>
            <w:tcW w:w="19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A9657B02">
            <w:pPr>
              <w:pStyle w:val="style0"/>
              <w:spacing w:after="0"/>
              <w:jc w:val="left"/>
              <w:rPr/>
            </w:pPr>
            <w:r>
              <w:rPr>
                <w:rFonts w:ascii="Times New Roman" w:cs="Times New Roman" w:eastAsia="Times New Roman" w:hAnsi="Times New Roman"/>
                <w:b/>
                <w:bCs/>
                <w:sz w:val="20"/>
                <w:szCs w:val="20"/>
              </w:rPr>
              <w:t>Evidence basis</w:t>
            </w:r>
          </w:p>
        </w:tc>
      </w:tr>
      <w:tr w14:paraId="8CF1812F">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DCF418">
            <w:pPr>
              <w:pStyle w:val="style0"/>
              <w:spacing w:after="0"/>
              <w:jc w:val="left"/>
              <w:rPr/>
            </w:pPr>
            <w:r>
              <w:rPr>
                <w:rFonts w:ascii="Times New Roman" w:cs="Times New Roman" w:eastAsia="Times New Roman" w:hAnsi="Times New Roman"/>
                <w:sz w:val="20"/>
                <w:szCs w:val="20"/>
              </w:rPr>
              <w:t>A. Timeliness</w:t>
            </w:r>
          </w:p>
        </w:tc>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4340F3">
            <w:pPr>
              <w:pStyle w:val="style0"/>
              <w:spacing w:after="0"/>
              <w:jc w:val="left"/>
              <w:rPr/>
            </w:pPr>
            <w:r>
              <w:rPr>
                <w:rFonts w:ascii="Times New Roman" w:cs="Times New Roman" w:eastAsia="Times New Roman" w:hAnsi="Times New Roman"/>
                <w:sz w:val="20"/>
                <w:szCs w:val="20"/>
              </w:rPr>
              <w:t>Intimation outside the prescribed window for localized or post-harvest loss; insurer survey delay</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9BF8636">
            <w:pPr>
              <w:pStyle w:val="style0"/>
              <w:spacing w:after="0"/>
              <w:jc w:val="left"/>
              <w:rPr/>
            </w:pPr>
            <w:r>
              <w:rPr>
                <w:rFonts w:ascii="Times New Roman" w:cs="Times New Roman" w:eastAsia="Times New Roman" w:hAnsi="Times New Roman"/>
                <w:sz w:val="20"/>
                <w:szCs w:val="20"/>
              </w:rPr>
              <w:t>Event date vs intimation date; survey date</w:t>
            </w:r>
          </w:p>
        </w:tc>
        <w:tc>
          <w:tcPr>
            <w:tcW w:w="19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4BF868">
            <w:pPr>
              <w:pStyle w:val="style0"/>
              <w:spacing w:after="0"/>
              <w:jc w:val="left"/>
              <w:rPr/>
            </w:pPr>
            <w:r>
              <w:rPr>
                <w:rFonts w:ascii="Times New Roman" w:cs="Times New Roman" w:eastAsia="Times New Roman" w:hAnsi="Times New Roman"/>
                <w:sz w:val="20"/>
                <w:szCs w:val="20"/>
              </w:rPr>
              <w:t xml:space="preserve">Guidelines </w:t>
            </w:r>
            <w:r>
              <w:rPr/>
              <w:fldChar w:fldCharType="begin"/>
            </w:r>
            <w:r>
              <w:instrText xml:space="preserve"> HYPERLINK \l "ref_guide" </w:instrText>
            </w:r>
            <w:r>
              <w:rPr/>
              <w:fldChar w:fldCharType="separate"/>
            </w:r>
            <w:r>
              <w:rPr>
                <w:rFonts w:ascii="Times New Roman" w:cs="Times New Roman" w:eastAsia="Times New Roman" w:hAnsi="Times New Roman"/>
                <w:color w:val="0563c1"/>
                <w:sz w:val="20"/>
                <w:szCs w:val="20"/>
                <w:u w:val="single"/>
              </w:rPr>
              <w:t>[3]</w:t>
            </w:r>
            <w:r>
              <w:rPr/>
              <w:fldChar w:fldCharType="end"/>
            </w:r>
            <w:r>
              <w:rPr>
                <w:rFonts w:ascii="Times New Roman" w:cs="Times New Roman" w:eastAsia="Times New Roman" w:hAnsi="Times New Roman"/>
                <w:sz w:val="20"/>
                <w:szCs w:val="20"/>
              </w:rPr>
              <w:t xml:space="preserve">; field report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0"/>
                <w:szCs w:val="20"/>
                <w:u w:val="single"/>
              </w:rPr>
              <w:t>[5]</w:t>
            </w:r>
            <w:r>
              <w:rPr/>
              <w:fldChar w:fldCharType="end"/>
            </w:r>
          </w:p>
        </w:tc>
      </w:tr>
      <w:tr w14:paraId="B4557A3B">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C2E29F46">
            <w:pPr>
              <w:pStyle w:val="style0"/>
              <w:spacing w:after="0"/>
              <w:jc w:val="left"/>
              <w:rPr/>
            </w:pPr>
            <w:r>
              <w:rPr>
                <w:rFonts w:ascii="Times New Roman" w:cs="Times New Roman" w:eastAsia="Times New Roman" w:hAnsi="Times New Roman"/>
                <w:sz w:val="20"/>
                <w:szCs w:val="20"/>
              </w:rPr>
              <w:t>B. Documentation and identity</w:t>
            </w:r>
          </w:p>
        </w:tc>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DCB3B4E8">
            <w:pPr>
              <w:pStyle w:val="style0"/>
              <w:spacing w:after="0"/>
              <w:jc w:val="left"/>
              <w:rPr/>
            </w:pPr>
            <w:r>
              <w:rPr>
                <w:rFonts w:ascii="Times New Roman" w:cs="Times New Roman" w:eastAsia="Times New Roman" w:hAnsi="Times New Roman"/>
                <w:sz w:val="20"/>
                <w:szCs w:val="20"/>
              </w:rPr>
              <w:t>Missing bank account details; mismatched farmer data on portal; clerical errors</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533655">
            <w:pPr>
              <w:pStyle w:val="style0"/>
              <w:spacing w:after="0"/>
              <w:jc w:val="left"/>
              <w:rPr/>
            </w:pPr>
            <w:r>
              <w:rPr>
                <w:rFonts w:ascii="Times New Roman" w:cs="Times New Roman" w:eastAsia="Times New Roman" w:hAnsi="Times New Roman"/>
                <w:sz w:val="20"/>
                <w:szCs w:val="20"/>
              </w:rPr>
              <w:t>Field completeness; text mentions of errors</w:t>
            </w:r>
          </w:p>
        </w:tc>
        <w:tc>
          <w:tcPr>
            <w:tcW w:w="19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1C37DF">
            <w:pPr>
              <w:pStyle w:val="style0"/>
              <w:spacing w:after="0"/>
              <w:jc w:val="left"/>
              <w:rPr/>
            </w:pPr>
            <w:r>
              <w:rPr>
                <w:rFonts w:ascii="Times New Roman" w:cs="Times New Roman" w:eastAsia="Times New Roman" w:hAnsi="Times New Roman"/>
                <w:sz w:val="20"/>
                <w:szCs w:val="20"/>
              </w:rPr>
              <w:t xml:space="preserve">Committee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0"/>
                <w:szCs w:val="20"/>
                <w:u w:val="single"/>
              </w:rPr>
              <w:t>[1]</w:t>
            </w:r>
            <w:r>
              <w:rPr/>
              <w:fldChar w:fldCharType="end"/>
            </w:r>
            <w:r>
              <w:rPr>
                <w:rFonts w:ascii="Times New Roman" w:cs="Times New Roman" w:eastAsia="Times New Roman" w:hAnsi="Times New Roman"/>
                <w:sz w:val="20"/>
                <w:szCs w:val="20"/>
              </w:rPr>
              <w:t xml:space="preserve">; Ministry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0"/>
                <w:szCs w:val="20"/>
                <w:u w:val="single"/>
              </w:rPr>
              <w:t>[2]</w:t>
            </w:r>
            <w:r>
              <w:rPr/>
              <w:fldChar w:fldCharType="end"/>
            </w:r>
            <w:r>
              <w:rPr>
                <w:rFonts w:ascii="Times New Roman" w:cs="Times New Roman" w:eastAsia="Times New Roman" w:hAnsi="Times New Roman"/>
                <w:sz w:val="20"/>
                <w:szCs w:val="20"/>
              </w:rPr>
              <w:t xml:space="preserve">; field report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0"/>
                <w:szCs w:val="20"/>
                <w:u w:val="single"/>
              </w:rPr>
              <w:t>[5]</w:t>
            </w:r>
            <w:r>
              <w:rPr/>
              <w:fldChar w:fldCharType="end"/>
            </w:r>
          </w:p>
        </w:tc>
      </w:tr>
      <w:tr w14:paraId="F3751960">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94FCBE">
            <w:pPr>
              <w:pStyle w:val="style0"/>
              <w:spacing w:after="0"/>
              <w:jc w:val="left"/>
              <w:rPr/>
            </w:pPr>
            <w:r>
              <w:rPr>
                <w:rFonts w:ascii="Times New Roman" w:cs="Times New Roman" w:eastAsia="Times New Roman" w:hAnsi="Times New Roman"/>
                <w:sz w:val="20"/>
                <w:szCs w:val="20"/>
              </w:rPr>
              <w:t>C. Enrolment and premium</w:t>
            </w:r>
          </w:p>
        </w:tc>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3BD5E1">
            <w:pPr>
              <w:pStyle w:val="style0"/>
              <w:spacing w:after="0"/>
              <w:jc w:val="left"/>
              <w:rPr/>
            </w:pPr>
            <w:r>
              <w:rPr>
                <w:rFonts w:ascii="Times New Roman" w:cs="Times New Roman" w:eastAsia="Times New Roman" w:hAnsi="Times New Roman"/>
                <w:sz w:val="20"/>
                <w:szCs w:val="20"/>
              </w:rPr>
              <w:t>Delayed remittance of the farmers' premium share</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6B5863">
            <w:pPr>
              <w:pStyle w:val="style0"/>
              <w:spacing w:after="0"/>
              <w:jc w:val="left"/>
              <w:rPr/>
            </w:pPr>
            <w:r>
              <w:rPr>
                <w:rFonts w:ascii="Times New Roman" w:cs="Times New Roman" w:eastAsia="Times New Roman" w:hAnsi="Times New Roman"/>
                <w:sz w:val="20"/>
                <w:szCs w:val="20"/>
              </w:rPr>
              <w:t>Premium status; timestamps</w:t>
            </w:r>
          </w:p>
        </w:tc>
        <w:tc>
          <w:tcPr>
            <w:tcW w:w="19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A8C8D2">
            <w:pPr>
              <w:pStyle w:val="style0"/>
              <w:spacing w:after="0"/>
              <w:jc w:val="left"/>
              <w:rPr/>
            </w:pPr>
            <w:r>
              <w:rPr>
                <w:rFonts w:ascii="Times New Roman" w:cs="Times New Roman" w:eastAsia="Times New Roman" w:hAnsi="Times New Roman"/>
                <w:sz w:val="20"/>
                <w:szCs w:val="20"/>
              </w:rPr>
              <w:t xml:space="preserve">Ministry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0"/>
                <w:szCs w:val="20"/>
                <w:u w:val="single"/>
              </w:rPr>
              <w:t>[2]</w:t>
            </w:r>
            <w:r>
              <w:rPr/>
              <w:fldChar w:fldCharType="end"/>
            </w:r>
          </w:p>
        </w:tc>
      </w:tr>
      <w:tr w14:paraId="C9617A74">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120874">
            <w:pPr>
              <w:pStyle w:val="style0"/>
              <w:spacing w:after="0"/>
              <w:jc w:val="left"/>
              <w:rPr/>
            </w:pPr>
            <w:r>
              <w:rPr>
                <w:rFonts w:ascii="Times New Roman" w:cs="Times New Roman" w:eastAsia="Times New Roman" w:hAnsi="Times New Roman"/>
                <w:sz w:val="20"/>
                <w:szCs w:val="20"/>
              </w:rPr>
              <w:t>D. Peril and crop eligibility</w:t>
            </w:r>
          </w:p>
        </w:tc>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CECC0B4">
            <w:pPr>
              <w:pStyle w:val="style0"/>
              <w:spacing w:after="0"/>
              <w:jc w:val="left"/>
              <w:rPr/>
            </w:pPr>
            <w:r>
              <w:rPr>
                <w:rFonts w:ascii="Times New Roman" w:cs="Times New Roman" w:eastAsia="Times New Roman" w:hAnsi="Times New Roman"/>
                <w:sz w:val="20"/>
                <w:szCs w:val="20"/>
              </w:rPr>
              <w:t>Cause of loss outside insured perils; crop or area not notified</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67CBC9">
            <w:pPr>
              <w:pStyle w:val="style0"/>
              <w:spacing w:after="0"/>
              <w:jc w:val="left"/>
              <w:rPr/>
            </w:pPr>
            <w:r>
              <w:rPr>
                <w:rFonts w:ascii="Times New Roman" w:cs="Times New Roman" w:eastAsia="Times New Roman" w:hAnsi="Times New Roman"/>
                <w:sz w:val="20"/>
                <w:szCs w:val="20"/>
              </w:rPr>
              <w:t>Extracted cause of loss; crop and unit codes</w:t>
            </w:r>
          </w:p>
        </w:tc>
        <w:tc>
          <w:tcPr>
            <w:tcW w:w="19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90729222">
            <w:pPr>
              <w:pStyle w:val="style0"/>
              <w:spacing w:after="0"/>
              <w:jc w:val="left"/>
              <w:rPr/>
            </w:pPr>
            <w:r>
              <w:rPr>
                <w:rFonts w:ascii="Times New Roman" w:cs="Times New Roman" w:eastAsia="Times New Roman" w:hAnsi="Times New Roman"/>
                <w:sz w:val="20"/>
                <w:szCs w:val="20"/>
              </w:rPr>
              <w:t xml:space="preserve">Guidelines </w:t>
            </w:r>
            <w:r>
              <w:rPr/>
              <w:fldChar w:fldCharType="begin"/>
            </w:r>
            <w:r>
              <w:instrText xml:space="preserve"> HYPERLINK \l "ref_guide" </w:instrText>
            </w:r>
            <w:r>
              <w:rPr/>
              <w:fldChar w:fldCharType="separate"/>
            </w:r>
            <w:r>
              <w:rPr>
                <w:rFonts w:ascii="Times New Roman" w:cs="Times New Roman" w:eastAsia="Times New Roman" w:hAnsi="Times New Roman"/>
                <w:color w:val="0563c1"/>
                <w:sz w:val="20"/>
                <w:szCs w:val="20"/>
                <w:u w:val="single"/>
              </w:rPr>
              <w:t>[3]</w:t>
            </w:r>
            <w:r>
              <w:rPr/>
              <w:fldChar w:fldCharType="end"/>
            </w:r>
          </w:p>
        </w:tc>
      </w:tr>
      <w:tr w14:paraId="0DA1A37D">
        <w:tblPrEx/>
        <w:trPr>
          <w:cantSplit/>
        </w:trPr>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48C7D0">
            <w:pPr>
              <w:pStyle w:val="style0"/>
              <w:spacing w:after="0"/>
              <w:jc w:val="left"/>
              <w:rPr/>
            </w:pPr>
            <w:r>
              <w:rPr>
                <w:rFonts w:ascii="Times New Roman" w:cs="Times New Roman" w:eastAsia="Times New Roman" w:hAnsi="Times New Roman"/>
                <w:sz w:val="20"/>
                <w:szCs w:val="20"/>
              </w:rPr>
              <w:t>E. Assessment outcome</w:t>
            </w:r>
          </w:p>
        </w:tc>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A41F1DE">
            <w:pPr>
              <w:pStyle w:val="style0"/>
              <w:spacing w:after="0"/>
              <w:jc w:val="left"/>
              <w:rPr/>
            </w:pPr>
            <w:r>
              <w:rPr>
                <w:rFonts w:ascii="Times New Roman" w:cs="Times New Roman" w:eastAsia="Times New Roman" w:hAnsi="Times New Roman"/>
                <w:sz w:val="20"/>
                <w:szCs w:val="20"/>
              </w:rPr>
              <w:t>Assessed loss below trigger; partial approval</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A8173F">
            <w:pPr>
              <w:pStyle w:val="style0"/>
              <w:spacing w:after="0"/>
              <w:jc w:val="left"/>
              <w:rPr/>
            </w:pPr>
            <w:r>
              <w:rPr>
                <w:rFonts w:ascii="Times New Roman" w:cs="Times New Roman" w:eastAsia="Times New Roman" w:hAnsi="Times New Roman"/>
                <w:sz w:val="20"/>
                <w:szCs w:val="20"/>
              </w:rPr>
              <w:t>Assessment fields (not available at intimation)</w:t>
            </w:r>
          </w:p>
        </w:tc>
        <w:tc>
          <w:tcPr>
            <w:tcW w:w="19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3C3F74A">
            <w:pPr>
              <w:pStyle w:val="style0"/>
              <w:spacing w:after="0"/>
              <w:jc w:val="left"/>
              <w:rPr/>
            </w:pPr>
            <w:r>
              <w:rPr>
                <w:rFonts w:ascii="Times New Roman" w:cs="Times New Roman" w:eastAsia="Times New Roman" w:hAnsi="Times New Roman"/>
                <w:sz w:val="20"/>
                <w:szCs w:val="20"/>
              </w:rPr>
              <w:t xml:space="preserve">Field report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0"/>
                <w:szCs w:val="20"/>
                <w:u w:val="single"/>
              </w:rPr>
              <w:t>[5]</w:t>
            </w:r>
            <w:r>
              <w:rPr/>
              <w:fldChar w:fldCharType="end"/>
            </w:r>
          </w:p>
        </w:tc>
      </w:tr>
    </w:tbl>
    <w:p w14:paraId="36C09F3D">
      <w:pPr>
        <w:pStyle w:val="style0"/>
        <w:spacing w:before="120" w:after="160" w:lineRule="auto" w:line="282"/>
        <w:jc w:val="both"/>
        <w:rPr/>
      </w:pPr>
      <w:r>
        <w:rPr>
          <w:rFonts w:ascii="Times New Roman" w:cs="Times New Roman" w:eastAsia="Times New Roman" w:hAnsi="Times New Roman"/>
          <w:sz w:val="24"/>
          <w:szCs w:val="24"/>
        </w:rPr>
        <w:t>Category E depends on information that is only available after assessment. It is therefore used as a label-analysis category and is excluded from the model inputs, to avoid target leakage.</w:t>
      </w:r>
    </w:p>
    <w:p w14:paraId="4BDFDD26">
      <w:pPr>
        <w:pStyle w:val="style4107"/>
        <w:keepNext/>
        <w:spacing w:before="200" w:after="120"/>
        <w:rPr/>
      </w:pPr>
      <w:r>
        <w:rPr>
          <w:rFonts w:ascii="Times New Roman" w:cs="Times New Roman" w:eastAsia="Times New Roman" w:hAnsi="Times New Roman"/>
          <w:b/>
          <w:bCs/>
          <w:sz w:val="24"/>
          <w:szCs w:val="24"/>
        </w:rPr>
        <w:t>4.4 Feature Design</w:t>
      </w:r>
    </w:p>
    <w:p w14:paraId="AAC4ED28">
      <w:pPr>
        <w:pStyle w:val="style0"/>
        <w:spacing w:before="0" w:after="160" w:lineRule="auto" w:line="282"/>
        <w:jc w:val="both"/>
        <w:rPr/>
      </w:pPr>
      <w:r>
        <w:rPr>
          <w:rFonts w:ascii="Times New Roman" w:cs="Times New Roman" w:eastAsia="Times New Roman" w:hAnsi="Times New Roman"/>
          <w:sz w:val="24"/>
          <w:szCs w:val="24"/>
        </w:rPr>
        <w:t>Table 4 lists the proposed feature groups. Every feature is checked against a time-of-availability rule, and any field created after the rejection decision, such as the decision date, officer closing remark or payout amount, is excluded.</w:t>
      </w:r>
    </w:p>
    <w:p w14:paraId="C35384B6">
      <w:pPr>
        <w:pStyle w:val="style0"/>
        <w:keepNext/>
        <w:spacing w:before="160" w:after="100"/>
        <w:rPr/>
      </w:pPr>
      <w:r>
        <w:rPr>
          <w:rFonts w:ascii="Times New Roman" w:cs="Times New Roman" w:eastAsia="Times New Roman" w:hAnsi="Times New Roman"/>
          <w:b/>
          <w:bCs/>
          <w:sz w:val="24"/>
          <w:szCs w:val="24"/>
        </w:rPr>
        <w:t>Table 4: Proposed Feature Groups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100"/>
        <w:gridCol w:w="4200"/>
        <w:gridCol w:w="2726"/>
      </w:tblGrid>
      <w:tr w14:paraId="949ABDDB">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024F17B5">
            <w:pPr>
              <w:pStyle w:val="style0"/>
              <w:spacing w:after="0"/>
              <w:jc w:val="left"/>
              <w:rPr/>
            </w:pPr>
            <w:r>
              <w:rPr>
                <w:rFonts w:ascii="Times New Roman" w:cs="Times New Roman" w:eastAsia="Times New Roman" w:hAnsi="Times New Roman"/>
                <w:b/>
                <w:bCs/>
                <w:sz w:val="20"/>
                <w:szCs w:val="20"/>
              </w:rPr>
              <w:t>Feature group</w:t>
            </w:r>
          </w:p>
        </w:tc>
        <w:tc>
          <w:tcPr>
            <w:tcW w:w="42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70E2B672">
            <w:pPr>
              <w:pStyle w:val="style0"/>
              <w:spacing w:after="0"/>
              <w:jc w:val="left"/>
              <w:rPr/>
            </w:pPr>
            <w:r>
              <w:rPr>
                <w:rFonts w:ascii="Times New Roman" w:cs="Times New Roman" w:eastAsia="Times New Roman" w:hAnsi="Times New Roman"/>
                <w:b/>
                <w:bCs/>
                <w:sz w:val="20"/>
                <w:szCs w:val="20"/>
              </w:rPr>
              <w:t>Examples</w:t>
            </w:r>
          </w:p>
        </w:tc>
        <w:tc>
          <w:tcPr>
            <w:tcW w:w="27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39D3D0F4">
            <w:pPr>
              <w:pStyle w:val="style0"/>
              <w:spacing w:after="0"/>
              <w:jc w:val="left"/>
              <w:rPr/>
            </w:pPr>
            <w:r>
              <w:rPr>
                <w:rFonts w:ascii="Times New Roman" w:cs="Times New Roman" w:eastAsia="Times New Roman" w:hAnsi="Times New Roman"/>
                <w:b/>
                <w:bCs/>
                <w:sz w:val="20"/>
                <w:szCs w:val="20"/>
              </w:rPr>
              <w:t>Source type</w:t>
            </w:r>
          </w:p>
        </w:tc>
      </w:tr>
      <w:tr w14:paraId="DBDCBB0D">
        <w:tblPrEx/>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8DCDBD">
            <w:pPr>
              <w:pStyle w:val="style0"/>
              <w:spacing w:after="0"/>
              <w:jc w:val="left"/>
              <w:rPr/>
            </w:pPr>
            <w:r>
              <w:rPr>
                <w:rFonts w:ascii="Times New Roman" w:cs="Times New Roman" w:eastAsia="Times New Roman" w:hAnsi="Times New Roman"/>
                <w:sz w:val="20"/>
                <w:szCs w:val="20"/>
              </w:rPr>
              <w:t>Policy and enrolment</w:t>
            </w:r>
          </w:p>
        </w:tc>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C3D156">
            <w:pPr>
              <w:pStyle w:val="style0"/>
              <w:spacing w:after="0"/>
              <w:jc w:val="left"/>
              <w:rPr/>
            </w:pPr>
            <w:r>
              <w:rPr>
                <w:rFonts w:ascii="Times New Roman" w:cs="Times New Roman" w:eastAsia="Times New Roman" w:hAnsi="Times New Roman"/>
                <w:sz w:val="20"/>
                <w:szCs w:val="20"/>
              </w:rPr>
              <w:t>Crop, season, insurance unit, borrower or non-borrower, premium status, sum insured</w:t>
            </w:r>
          </w:p>
        </w:tc>
        <w:tc>
          <w:tcPr>
            <w:tcW w:w="2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66FEA0">
            <w:pPr>
              <w:pStyle w:val="style0"/>
              <w:spacing w:after="0"/>
              <w:jc w:val="left"/>
              <w:rPr/>
            </w:pPr>
            <w:r>
              <w:rPr>
                <w:rFonts w:ascii="Times New Roman" w:cs="Times New Roman" w:eastAsia="Times New Roman" w:hAnsi="Times New Roman"/>
                <w:sz w:val="20"/>
                <w:szCs w:val="20"/>
              </w:rPr>
              <w:t>Structured</w:t>
            </w:r>
          </w:p>
        </w:tc>
      </w:tr>
      <w:tr w14:paraId="DC75FB06">
        <w:tblPrEx/>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82355FC6">
            <w:pPr>
              <w:pStyle w:val="style0"/>
              <w:spacing w:after="0"/>
              <w:jc w:val="left"/>
              <w:rPr/>
            </w:pPr>
            <w:r>
              <w:rPr>
                <w:rFonts w:ascii="Times New Roman" w:cs="Times New Roman" w:eastAsia="Times New Roman" w:hAnsi="Times New Roman"/>
                <w:sz w:val="20"/>
                <w:szCs w:val="20"/>
              </w:rPr>
              <w:t>Calamity and timing</w:t>
            </w:r>
          </w:p>
        </w:tc>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B007C1A">
            <w:pPr>
              <w:pStyle w:val="style0"/>
              <w:spacing w:after="0"/>
              <w:jc w:val="left"/>
              <w:rPr/>
            </w:pPr>
            <w:r>
              <w:rPr>
                <w:rFonts w:ascii="Times New Roman" w:cs="Times New Roman" w:eastAsia="Times New Roman" w:hAnsi="Times New Roman"/>
                <w:sz w:val="20"/>
                <w:szCs w:val="20"/>
              </w:rPr>
              <w:t>Peril type, event date, intimation lag in hours, season stage, rainfall or satellite anomaly flag</w:t>
            </w:r>
          </w:p>
        </w:tc>
        <w:tc>
          <w:tcPr>
            <w:tcW w:w="2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77C69B">
            <w:pPr>
              <w:pStyle w:val="style0"/>
              <w:spacing w:after="0"/>
              <w:jc w:val="left"/>
              <w:rPr/>
            </w:pPr>
            <w:r>
              <w:rPr>
                <w:rFonts w:ascii="Times New Roman" w:cs="Times New Roman" w:eastAsia="Times New Roman" w:hAnsi="Times New Roman"/>
                <w:sz w:val="20"/>
                <w:szCs w:val="20"/>
              </w:rPr>
              <w:t>Structured and external</w:t>
            </w:r>
          </w:p>
        </w:tc>
      </w:tr>
      <w:tr w14:paraId="9588BCD5">
        <w:tblPrEx/>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4ECE0E">
            <w:pPr>
              <w:pStyle w:val="style0"/>
              <w:spacing w:after="0"/>
              <w:jc w:val="left"/>
              <w:rPr/>
            </w:pPr>
            <w:r>
              <w:rPr>
                <w:rFonts w:ascii="Times New Roman" w:cs="Times New Roman" w:eastAsia="Times New Roman" w:hAnsi="Times New Roman"/>
                <w:sz w:val="20"/>
                <w:szCs w:val="20"/>
              </w:rPr>
              <w:t>Identity and documentation</w:t>
            </w:r>
          </w:p>
        </w:tc>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EDC71D">
            <w:pPr>
              <w:pStyle w:val="style0"/>
              <w:spacing w:after="0"/>
              <w:jc w:val="left"/>
              <w:rPr/>
            </w:pPr>
            <w:r>
              <w:rPr>
                <w:rFonts w:ascii="Times New Roman" w:cs="Times New Roman" w:eastAsia="Times New Roman" w:hAnsi="Times New Roman"/>
                <w:sz w:val="20"/>
                <w:szCs w:val="20"/>
              </w:rPr>
              <w:t>Bank and ID field completeness, portal data mismatches</w:t>
            </w:r>
          </w:p>
        </w:tc>
        <w:tc>
          <w:tcPr>
            <w:tcW w:w="2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72521B0">
            <w:pPr>
              <w:pStyle w:val="style0"/>
              <w:spacing w:after="0"/>
              <w:jc w:val="left"/>
              <w:rPr/>
            </w:pPr>
            <w:r>
              <w:rPr>
                <w:rFonts w:ascii="Times New Roman" w:cs="Times New Roman" w:eastAsia="Times New Roman" w:hAnsi="Times New Roman"/>
                <w:sz w:val="20"/>
                <w:szCs w:val="20"/>
              </w:rPr>
              <w:t>Structured</w:t>
            </w:r>
          </w:p>
        </w:tc>
      </w:tr>
      <w:tr w14:paraId="F6ED53F6">
        <w:tblPrEx/>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C2D26D8">
            <w:pPr>
              <w:pStyle w:val="style0"/>
              <w:spacing w:after="0"/>
              <w:jc w:val="left"/>
              <w:rPr/>
            </w:pPr>
            <w:r>
              <w:rPr>
                <w:rFonts w:ascii="Times New Roman" w:cs="Times New Roman" w:eastAsia="Times New Roman" w:hAnsi="Times New Roman"/>
                <w:sz w:val="20"/>
                <w:szCs w:val="20"/>
              </w:rPr>
              <w:t>Text-derived</w:t>
            </w:r>
          </w:p>
        </w:tc>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9F6761EC">
            <w:pPr>
              <w:pStyle w:val="style0"/>
              <w:spacing w:after="0"/>
              <w:jc w:val="left"/>
              <w:rPr/>
            </w:pPr>
            <w:r>
              <w:rPr>
                <w:rFonts w:ascii="Times New Roman" w:cs="Times New Roman" w:eastAsia="Times New Roman" w:hAnsi="Times New Roman"/>
                <w:sz w:val="20"/>
                <w:szCs w:val="20"/>
              </w:rPr>
              <w:t>Text risk score, extracted cause of loss and loss date, mentions of survey, error or missing document, language</w:t>
            </w:r>
          </w:p>
        </w:tc>
        <w:tc>
          <w:tcPr>
            <w:tcW w:w="2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ED23D48">
            <w:pPr>
              <w:pStyle w:val="style0"/>
              <w:spacing w:after="0"/>
              <w:jc w:val="left"/>
              <w:rPr/>
            </w:pPr>
            <w:r>
              <w:rPr>
                <w:rFonts w:ascii="Times New Roman" w:cs="Times New Roman" w:eastAsia="Times New Roman" w:hAnsi="Times New Roman"/>
                <w:sz w:val="20"/>
                <w:szCs w:val="20"/>
              </w:rPr>
              <w:t>NLP output</w:t>
            </w:r>
          </w:p>
        </w:tc>
      </w:tr>
      <w:tr w14:paraId="B590B396">
        <w:tblPrEx/>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98AA553">
            <w:pPr>
              <w:pStyle w:val="style0"/>
              <w:spacing w:after="0"/>
              <w:jc w:val="left"/>
              <w:rPr/>
            </w:pPr>
            <w:r>
              <w:rPr>
                <w:rFonts w:ascii="Times New Roman" w:cs="Times New Roman" w:eastAsia="Times New Roman" w:hAnsi="Times New Roman"/>
                <w:sz w:val="20"/>
                <w:szCs w:val="20"/>
              </w:rPr>
              <w:t>Administrative context</w:t>
            </w:r>
          </w:p>
        </w:tc>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3C2BF6">
            <w:pPr>
              <w:pStyle w:val="style0"/>
              <w:spacing w:after="0"/>
              <w:jc w:val="left"/>
              <w:rPr/>
            </w:pPr>
            <w:r>
              <w:rPr>
                <w:rFonts w:ascii="Times New Roman" w:cs="Times New Roman" w:eastAsia="Times New Roman" w:hAnsi="Times New Roman"/>
                <w:sz w:val="20"/>
                <w:szCs w:val="20"/>
              </w:rPr>
              <w:t>District, insurer, historical district-level settlement delay (computed only from earlier seasons)</w:t>
            </w:r>
          </w:p>
        </w:tc>
        <w:tc>
          <w:tcPr>
            <w:tcW w:w="27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7D2289">
            <w:pPr>
              <w:pStyle w:val="style0"/>
              <w:spacing w:after="0"/>
              <w:jc w:val="left"/>
              <w:rPr/>
            </w:pPr>
            <w:r>
              <w:rPr>
                <w:rFonts w:ascii="Times New Roman" w:cs="Times New Roman" w:eastAsia="Times New Roman" w:hAnsi="Times New Roman"/>
                <w:sz w:val="20"/>
                <w:szCs w:val="20"/>
              </w:rPr>
              <w:t>Structured</w:t>
            </w:r>
          </w:p>
        </w:tc>
      </w:tr>
    </w:tbl>
    <w:p w14:paraId="7526F3F3">
      <w:pPr>
        <w:pStyle w:val="style0"/>
        <w:spacing w:after="0" w:lineRule="exact" w:line="120"/>
        <w:rPr/>
      </w:pPr>
    </w:p>
    <w:p w14:paraId="F17C5DE7">
      <w:pPr>
        <w:pStyle w:val="style4107"/>
        <w:keepNext/>
        <w:spacing w:before="200" w:after="120"/>
        <w:rPr/>
      </w:pPr>
      <w:r>
        <w:rPr>
          <w:rFonts w:ascii="Times New Roman" w:cs="Times New Roman" w:eastAsia="Times New Roman" w:hAnsi="Times New Roman"/>
          <w:b/>
          <w:bCs/>
          <w:sz w:val="24"/>
          <w:szCs w:val="24"/>
        </w:rPr>
        <w:t>4.5 Stage 1: NLP Pipeline</w:t>
      </w:r>
    </w:p>
    <w:p w14:paraId="AABB4905">
      <w:pPr>
        <w:pStyle w:val="style0"/>
        <w:spacing w:before="0" w:after="160" w:lineRule="auto" w:line="282"/>
        <w:jc w:val="both"/>
        <w:rPr/>
      </w:pPr>
      <w:r>
        <w:rPr>
          <w:rFonts w:ascii="Times New Roman" w:cs="Times New Roman" w:eastAsia="Times New Roman" w:hAnsi="Times New Roman"/>
          <w:sz w:val="24"/>
          <w:szCs w:val="24"/>
        </w:rPr>
        <w:t xml:space="preserve">Figure 1 shows the architecture. The text stage first applies de-identification, language identification and normalisation of code-mixed and transliterated input, with optical character recognition for scanned forms. Two representations are compared. The baseline is TF-IDF with a linear classifier </w:t>
      </w:r>
      <w:r>
        <w:rPr/>
        <w:fldChar w:fldCharType="begin"/>
      </w:r>
      <w:r>
        <w:instrText xml:space="preserve"> HYPERLINK \l "ref_salton" </w:instrText>
      </w:r>
      <w:r>
        <w:rPr/>
        <w:fldChar w:fldCharType="separate"/>
      </w:r>
      <w:r>
        <w:rPr>
          <w:rFonts w:ascii="Times New Roman" w:cs="Times New Roman" w:eastAsia="Times New Roman" w:hAnsi="Times New Roman"/>
          <w:color w:val="0563c1"/>
          <w:sz w:val="24"/>
          <w:szCs w:val="24"/>
          <w:u w:val="single"/>
        </w:rPr>
        <w:t>[14]</w:t>
      </w:r>
      <w:r>
        <w:rPr/>
        <w:fldChar w:fldCharType="end"/>
      </w:r>
      <w:r>
        <w:rPr>
          <w:rFonts w:ascii="Times New Roman" w:cs="Times New Roman" w:eastAsia="Times New Roman" w:hAnsi="Times New Roman"/>
          <w:sz w:val="24"/>
          <w:szCs w:val="24"/>
        </w:rPr>
        <w:t xml:space="preserve">, chosen for transparency. The challenger is a multilingual encoder fine-tuned for the rejection label, using MuRIL </w:t>
      </w:r>
      <w:r>
        <w:rPr/>
        <w:fldChar w:fldCharType="begin"/>
      </w:r>
      <w:r>
        <w:instrText xml:space="preserve"> HYPERLINK \l "ref_muril" </w:instrText>
      </w:r>
      <w:r>
        <w:rPr/>
        <w:fldChar w:fldCharType="separate"/>
      </w:r>
      <w:r>
        <w:rPr>
          <w:rFonts w:ascii="Times New Roman" w:cs="Times New Roman" w:eastAsia="Times New Roman" w:hAnsi="Times New Roman"/>
          <w:color w:val="0563c1"/>
          <w:sz w:val="24"/>
          <w:szCs w:val="24"/>
          <w:u w:val="single"/>
        </w:rPr>
        <w:t>[12]</w:t>
      </w:r>
      <w:r>
        <w:rPr/>
        <w:fldChar w:fldCharType="end"/>
      </w:r>
      <w:r>
        <w:rPr>
          <w:rFonts w:ascii="Times New Roman" w:cs="Times New Roman" w:eastAsia="Times New Roman" w:hAnsi="Times New Roman"/>
          <w:sz w:val="24"/>
          <w:szCs w:val="24"/>
        </w:rPr>
        <w:t xml:space="preserve">, an IndicNLP model </w:t>
      </w:r>
      <w:r>
        <w:rPr/>
        <w:fldChar w:fldCharType="begin"/>
      </w:r>
      <w:r>
        <w:instrText xml:space="preserve"> HYPERLINK \l "ref_indic" </w:instrText>
      </w:r>
      <w:r>
        <w:rPr/>
        <w:fldChar w:fldCharType="separate"/>
      </w:r>
      <w:r>
        <w:rPr>
          <w:rFonts w:ascii="Times New Roman" w:cs="Times New Roman" w:eastAsia="Times New Roman" w:hAnsi="Times New Roman"/>
          <w:color w:val="0563c1"/>
          <w:sz w:val="24"/>
          <w:szCs w:val="24"/>
          <w:u w:val="single"/>
        </w:rPr>
        <w:t>[13]</w:t>
      </w:r>
      <w:r>
        <w:rPr/>
        <w:fldChar w:fldCharType="end"/>
      </w:r>
      <w:r>
        <w:rPr>
          <w:rFonts w:ascii="Times New Roman" w:cs="Times New Roman" w:eastAsia="Times New Roman" w:hAnsi="Times New Roman"/>
          <w:sz w:val="24"/>
          <w:szCs w:val="24"/>
        </w:rPr>
        <w:t xml:space="preserve"> or a BERT-family model </w:t>
      </w:r>
      <w:r>
        <w:rPr/>
        <w:fldChar w:fldCharType="begin"/>
      </w:r>
      <w:r>
        <w:instrText xml:space="preserve"> HYPERLINK \l "ref_devlin" </w:instrText>
      </w:r>
      <w:r>
        <w:rPr/>
        <w:fldChar w:fldCharType="separate"/>
      </w:r>
      <w:r>
        <w:rPr>
          <w:rFonts w:ascii="Times New Roman" w:cs="Times New Roman" w:eastAsia="Times New Roman" w:hAnsi="Times New Roman"/>
          <w:color w:val="0563c1"/>
          <w:sz w:val="24"/>
          <w:szCs w:val="24"/>
          <w:u w:val="single"/>
        </w:rPr>
        <w:t>[11]</w:t>
      </w:r>
      <w:r>
        <w:rPr/>
        <w:fldChar w:fldCharType="end"/>
      </w:r>
      <w:r>
        <w:rPr>
          <w:rFonts w:ascii="Times New Roman" w:cs="Times New Roman" w:eastAsia="Times New Roman" w:hAnsi="Times New Roman"/>
          <w:sz w:val="24"/>
          <w:szCs w:val="24"/>
        </w:rPr>
        <w:t>. A second NLP task extracts the cause of loss, loss date and crop stage through named-entity recognition, so that intimation lag can be computed even when the date is stated only in running text.</w:t>
      </w:r>
    </w:p>
    <w:p w14:paraId="AB68DA9E">
      <w:pPr>
        <w:pStyle w:val="style0"/>
        <w:keepNext/>
        <w:spacing w:before="120" w:after="60"/>
        <w:jc w:val="center"/>
        <w:rPr/>
      </w:pPr>
      <w:r>
        <w:rPr/>
        <w:drawing>
          <wp:inline distL="0" distT="0" distB="0" distR="0">
            <wp:extent cx="4286250" cy="2667000"/>
            <wp:effectExtent l="0" t="0" r="0" b="0"/>
            <wp:docPr id="1026" name="fig1" descr="Two-stage pre-emptive claim rejection prediction architecture"/>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fig1"/>
                    <pic:cNvPicPr/>
                  </pic:nvPicPr>
                  <pic:blipFill>
                    <a:blip r:embed="rId2" cstate="print"/>
                    <a:srcRect l="0" t="0" r="0" b="0"/>
                    <a:stretch/>
                  </pic:blipFill>
                  <pic:spPr>
                    <a:xfrm rot="0">
                      <a:off x="0" y="0"/>
                      <a:ext cx="4286250" cy="2667000"/>
                    </a:xfrm>
                    <a:prstGeom prst="rect"/>
                  </pic:spPr>
                </pic:pic>
              </a:graphicData>
            </a:graphic>
          </wp:inline>
        </w:drawing>
      </w:r>
    </w:p>
    <w:p w14:paraId="581E55E2">
      <w:pPr>
        <w:pStyle w:val="style0"/>
        <w:spacing w:before="80" w:after="200"/>
        <w:jc w:val="center"/>
        <w:rPr/>
      </w:pPr>
      <w:r>
        <w:rPr>
          <w:rFonts w:ascii="Times New Roman" w:cs="Times New Roman" w:eastAsia="Times New Roman" w:hAnsi="Times New Roman"/>
          <w:b/>
          <w:bCs/>
          <w:sz w:val="20"/>
          <w:szCs w:val="20"/>
        </w:rPr>
        <w:t>Figure 1: Proposed two-stage architecture for pre-emptive rejection prediction</w:t>
      </w:r>
    </w:p>
    <w:p w14:paraId="B36B66EB">
      <w:pPr>
        <w:pStyle w:val="style4107"/>
        <w:keepNext/>
        <w:spacing w:before="200" w:after="120"/>
        <w:rPr/>
      </w:pPr>
      <w:r>
        <w:rPr>
          <w:rFonts w:ascii="Times New Roman" w:cs="Times New Roman" w:eastAsia="Times New Roman" w:hAnsi="Times New Roman"/>
          <w:b/>
          <w:bCs/>
          <w:sz w:val="24"/>
          <w:szCs w:val="24"/>
        </w:rPr>
        <w:t>4.6 Stage 2: Risk Model and Decision Threshold</w:t>
      </w:r>
    </w:p>
    <w:p w14:paraId="55C62BC3">
      <w:pPr>
        <w:pStyle w:val="style0"/>
        <w:spacing w:before="0" w:after="160" w:lineRule="auto" w:line="282"/>
        <w:jc w:val="both"/>
        <w:rPr/>
      </w:pPr>
      <w:r>
        <w:rPr>
          <w:rFonts w:ascii="Times New Roman" w:cs="Times New Roman" w:eastAsia="Times New Roman" w:hAnsi="Times New Roman"/>
          <w:sz w:val="24"/>
          <w:szCs w:val="24"/>
        </w:rPr>
        <w:t xml:space="preserve">The text-risk score from Stage 1 is generated out-of-fold, so that the second stage never sees a score produced by a model trained on the same claim. It is then fused with structured and timing features. Logistic regression serves as the interpretable benchmark and gradient-boosted trees </w:t>
      </w:r>
      <w:r>
        <w:rPr/>
        <w:fldChar w:fldCharType="begin"/>
      </w:r>
      <w:r>
        <w:instrText xml:space="preserve"> HYPERLINK \l "ref_xgb" </w:instrText>
      </w:r>
      <w:r>
        <w:rPr/>
        <w:fldChar w:fldCharType="separate"/>
      </w:r>
      <w:r>
        <w:rPr>
          <w:rFonts w:ascii="Times New Roman" w:cs="Times New Roman" w:eastAsia="Times New Roman" w:hAnsi="Times New Roman"/>
          <w:color w:val="0563c1"/>
          <w:sz w:val="24"/>
          <w:szCs w:val="24"/>
          <w:u w:val="single"/>
        </w:rPr>
        <w:t>[18]</w:t>
      </w:r>
      <w:r>
        <w:rPr/>
        <w:fldChar w:fldCharType="end"/>
      </w:r>
      <w:r>
        <w:rPr>
          <w:rFonts w:ascii="Times New Roman" w:cs="Times New Roman" w:eastAsia="Times New Roman" w:hAnsi="Times New Roman"/>
          <w:sz w:val="24"/>
          <w:szCs w:val="24"/>
        </w:rPr>
        <w:t xml:space="preserve"> as the main model. Class imbalance is handled by class weighting and, as a sensitivity check, SMOTE </w:t>
      </w:r>
      <w:r>
        <w:rPr/>
        <w:fldChar w:fldCharType="begin"/>
      </w:r>
      <w:r>
        <w:instrText xml:space="preserve"> HYPERLINK \l "ref_smote" </w:instrText>
      </w:r>
      <w:r>
        <w:rPr/>
        <w:fldChar w:fldCharType="separate"/>
      </w:r>
      <w:r>
        <w:rPr>
          <w:rFonts w:ascii="Times New Roman" w:cs="Times New Roman" w:eastAsia="Times New Roman" w:hAnsi="Times New Roman"/>
          <w:color w:val="0563c1"/>
          <w:sz w:val="24"/>
          <w:szCs w:val="24"/>
          <w:u w:val="single"/>
        </w:rPr>
        <w:t>[16]</w:t>
      </w:r>
      <w:r>
        <w:rPr/>
        <w:fldChar w:fldCharType="end"/>
      </w:r>
      <w:r>
        <w:rPr>
          <w:rFonts w:ascii="Times New Roman" w:cs="Times New Roman" w:eastAsia="Times New Roman" w:hAnsi="Times New Roman"/>
          <w:sz w:val="24"/>
          <w:szCs w:val="24"/>
        </w:rPr>
        <w:t xml:space="preserve">. Scores are calibrated </w:t>
      </w:r>
      <w:r>
        <w:rPr/>
        <w:fldChar w:fldCharType="begin"/>
      </w:r>
      <w:r>
        <w:instrText xml:space="preserve"> HYPERLINK \l "ref_niculescu" </w:instrText>
      </w:r>
      <w:r>
        <w:rPr/>
        <w:fldChar w:fldCharType="separate"/>
      </w:r>
      <w:r>
        <w:rPr>
          <w:rFonts w:ascii="Times New Roman" w:cs="Times New Roman" w:eastAsia="Times New Roman" w:hAnsi="Times New Roman"/>
          <w:color w:val="0563c1"/>
          <w:sz w:val="24"/>
          <w:szCs w:val="24"/>
          <w:u w:val="single"/>
        </w:rPr>
        <w:t>[19]</w:t>
      </w:r>
      <w:r>
        <w:rPr/>
        <w:fldChar w:fldCharType="end"/>
      </w:r>
      <w:r>
        <w:rPr>
          <w:rFonts w:ascii="Times New Roman" w:cs="Times New Roman" w:eastAsia="Times New Roman" w:hAnsi="Times New Roman"/>
          <w:sz w:val="24"/>
          <w:szCs w:val="24"/>
        </w:rPr>
        <w:t xml:space="preserve"> so that a probability of 0.2 corresponds to roughly one rejection in five similar claims.</w:t>
      </w:r>
    </w:p>
    <w:p w14:paraId="A6F2A1C9">
      <w:pPr>
        <w:pStyle w:val="style0"/>
        <w:spacing w:before="0" w:after="160" w:lineRule="auto" w:line="282"/>
        <w:jc w:val="both"/>
        <w:rPr/>
      </w:pPr>
      <w:r>
        <w:rPr>
          <w:rFonts w:ascii="Times New Roman" w:cs="Times New Roman" w:eastAsia="Times New Roman" w:hAnsi="Times New Roman"/>
          <w:sz w:val="24"/>
          <w:szCs w:val="24"/>
        </w:rPr>
        <w:t xml:space="preserve">The alert threshold is chosen from costs. If c_FN is the cost of failing to warn about a claim that is then rejected for a correctable reason and c_FP is the cost of an unnecessary alert, a calibrated model should raise an alert when p ≥ c_FP / (c_FP + c_FN) </w:t>
      </w:r>
      <w:r>
        <w:rPr/>
        <w:fldChar w:fldCharType="begin"/>
      </w:r>
      <w:r>
        <w:instrText xml:space="preserve"> HYPERLINK \l "ref_elkan" </w:instrText>
      </w:r>
      <w:r>
        <w:rPr/>
        <w:fldChar w:fldCharType="separate"/>
      </w:r>
      <w:r>
        <w:rPr>
          <w:rFonts w:ascii="Times New Roman" w:cs="Times New Roman" w:eastAsia="Times New Roman" w:hAnsi="Times New Roman"/>
          <w:color w:val="0563c1"/>
          <w:sz w:val="24"/>
          <w:szCs w:val="24"/>
          <w:u w:val="single"/>
        </w:rPr>
        <w:t>[17]</w:t>
      </w:r>
      <w:r>
        <w:rPr/>
        <w:fldChar w:fldCharType="end"/>
      </w:r>
      <w:r>
        <w:rPr>
          <w:rFonts w:ascii="Times New Roman" w:cs="Times New Roman" w:eastAsia="Times New Roman" w:hAnsi="Times New Roman"/>
          <w:sz w:val="24"/>
          <w:szCs w:val="24"/>
        </w:rPr>
        <w:t>. Because the cost of a missed warning to a farmer is likely to exceed the cost of a review call, the threshold is expected to be well below 0.5. The costs are policy parameters and will be set with the agriculture department and tested over a range.</w:t>
      </w:r>
    </w:p>
    <w:p w14:paraId="D7DA1EF4">
      <w:pPr>
        <w:pStyle w:val="style4107"/>
        <w:keepNext/>
        <w:spacing w:before="200" w:after="120"/>
        <w:rPr/>
      </w:pPr>
      <w:r>
        <w:rPr>
          <w:rFonts w:ascii="Times New Roman" w:cs="Times New Roman" w:eastAsia="Times New Roman" w:hAnsi="Times New Roman"/>
          <w:b/>
          <w:bCs/>
          <w:sz w:val="24"/>
          <w:szCs w:val="24"/>
        </w:rPr>
        <w:t>4.7 Evaluation Protocol</w:t>
      </w:r>
    </w:p>
    <w:p w14:paraId="C8B416E0">
      <w:pPr>
        <w:pStyle w:val="style0"/>
        <w:spacing w:before="0" w:after="160" w:lineRule="auto" w:line="282"/>
        <w:jc w:val="both"/>
        <w:rPr/>
      </w:pPr>
      <w:r>
        <w:rPr>
          <w:rFonts w:ascii="Times New Roman" w:cs="Times New Roman" w:eastAsia="Times New Roman" w:hAnsi="Times New Roman"/>
          <w:sz w:val="24"/>
          <w:szCs w:val="24"/>
        </w:rPr>
        <w:t>The protocol is designed to prevent over-optimistic estimates:</w:t>
      </w:r>
    </w:p>
    <w:p w14:paraId="8FFD5428">
      <w:pPr>
        <w:pStyle w:val="style179"/>
        <w:numPr>
          <w:ilvl w:val="0"/>
          <w:numId w:val="1"/>
        </w:numPr>
        <w:spacing w:after="70" w:lineRule="auto" w:line="282"/>
        <w:jc w:val="both"/>
        <w:rPr/>
      </w:pPr>
      <w:r>
        <w:rPr>
          <w:rFonts w:ascii="Times New Roman" w:cs="Times New Roman" w:eastAsia="Times New Roman" w:hAnsi="Times New Roman"/>
          <w:b/>
          <w:bCs/>
          <w:sz w:val="24"/>
          <w:szCs w:val="24"/>
        </w:rPr>
        <w:t>Temporal split.</w:t>
      </w:r>
      <w:r>
        <w:rPr>
          <w:rFonts w:ascii="Times New Roman" w:cs="Times New Roman" w:eastAsia="Times New Roman" w:hAnsi="Times New Roman"/>
          <w:sz w:val="24"/>
          <w:szCs w:val="24"/>
        </w:rPr>
        <w:t xml:space="preserve"> Train on earlier seasons and test on later ones; a district-held-out split tests transfer.</w:t>
      </w:r>
    </w:p>
    <w:p w14:paraId="2620EAA8">
      <w:pPr>
        <w:pStyle w:val="style179"/>
        <w:numPr>
          <w:ilvl w:val="0"/>
          <w:numId w:val="1"/>
        </w:numPr>
        <w:spacing w:after="70" w:lineRule="auto" w:line="282"/>
        <w:jc w:val="both"/>
        <w:rPr/>
      </w:pPr>
      <w:r>
        <w:rPr>
          <w:rFonts w:ascii="Times New Roman" w:cs="Times New Roman" w:eastAsia="Times New Roman" w:hAnsi="Times New Roman"/>
          <w:b/>
          <w:bCs/>
          <w:sz w:val="24"/>
          <w:szCs w:val="24"/>
        </w:rPr>
        <w:t>Leakage control.</w:t>
      </w:r>
      <w:r>
        <w:rPr>
          <w:rFonts w:ascii="Times New Roman" w:cs="Times New Roman" w:eastAsia="Times New Roman" w:hAnsi="Times New Roman"/>
          <w:sz w:val="24"/>
          <w:szCs w:val="24"/>
        </w:rPr>
        <w:t xml:space="preserve"> Only fields available at intimation are used; the exclusions in Table 4 are enforced in code.</w:t>
      </w:r>
    </w:p>
    <w:p w14:paraId="05D209CF">
      <w:pPr>
        <w:pStyle w:val="style179"/>
        <w:numPr>
          <w:ilvl w:val="0"/>
          <w:numId w:val="1"/>
        </w:numPr>
        <w:spacing w:after="70" w:lineRule="auto" w:line="282"/>
        <w:jc w:val="both"/>
        <w:rPr/>
      </w:pPr>
      <w:r>
        <w:rPr>
          <w:rFonts w:ascii="Times New Roman" w:cs="Times New Roman" w:eastAsia="Times New Roman" w:hAnsi="Times New Roman"/>
          <w:b/>
          <w:bCs/>
          <w:sz w:val="24"/>
          <w:szCs w:val="24"/>
        </w:rPr>
        <w:t>Metrics.</w:t>
      </w:r>
      <w:r>
        <w:rPr>
          <w:rFonts w:ascii="Times New Roman" w:cs="Times New Roman" w:eastAsia="Times New Roman" w:hAnsi="Times New Roman"/>
          <w:sz w:val="24"/>
          <w:szCs w:val="24"/>
        </w:rPr>
        <w:t xml:space="preserve"> PR-AUC and recall at fixed precision </w:t>
      </w:r>
      <w:r>
        <w:rPr/>
        <w:fldChar w:fldCharType="begin"/>
      </w:r>
      <w:r>
        <w:instrText xml:space="preserve"> HYPERLINK \l "ref_pr" </w:instrText>
      </w:r>
      <w:r>
        <w:rPr/>
        <w:fldChar w:fldCharType="separate"/>
      </w:r>
      <w:r>
        <w:rPr>
          <w:rFonts w:ascii="Times New Roman" w:cs="Times New Roman" w:eastAsia="Times New Roman" w:hAnsi="Times New Roman"/>
          <w:color w:val="0563c1"/>
          <w:sz w:val="24"/>
          <w:szCs w:val="24"/>
          <w:u w:val="single"/>
        </w:rPr>
        <w:t>[15]</w:t>
      </w:r>
      <w:r>
        <w:rPr/>
        <w:fldChar w:fldCharType="end"/>
      </w:r>
      <w:r>
        <w:rPr>
          <w:rFonts w:ascii="Times New Roman" w:cs="Times New Roman" w:eastAsia="Times New Roman" w:hAnsi="Times New Roman"/>
          <w:sz w:val="24"/>
          <w:szCs w:val="24"/>
        </w:rPr>
        <w:t>; Brier score, calibration curves and expected cost (Section 4.6). Accuracy is reported only for completeness.</w:t>
      </w:r>
    </w:p>
    <w:p w14:paraId="E9778D0D">
      <w:pPr>
        <w:pStyle w:val="style179"/>
        <w:numPr>
          <w:ilvl w:val="0"/>
          <w:numId w:val="1"/>
        </w:numPr>
        <w:spacing w:after="70" w:lineRule="auto" w:line="282"/>
        <w:jc w:val="both"/>
        <w:rPr/>
      </w:pPr>
      <w:r>
        <w:rPr>
          <w:rFonts w:ascii="Times New Roman" w:cs="Times New Roman" w:eastAsia="Times New Roman" w:hAnsi="Times New Roman"/>
          <w:b/>
          <w:bCs/>
          <w:sz w:val="24"/>
          <w:szCs w:val="24"/>
        </w:rPr>
        <w:t>Baselines and ablations.</w:t>
      </w:r>
      <w:r>
        <w:rPr>
          <w:rFonts w:ascii="Times New Roman" w:cs="Times New Roman" w:eastAsia="Times New Roman" w:hAnsi="Times New Roman"/>
          <w:sz w:val="24"/>
          <w:szCs w:val="24"/>
        </w:rPr>
        <w:t xml:space="preserve"> A rule-based baseline flagging claims intimated after the 72-hour window; structured-only; text-only; fused.</w:t>
      </w:r>
    </w:p>
    <w:p w14:paraId="D9570736">
      <w:pPr>
        <w:pStyle w:val="style179"/>
        <w:numPr>
          <w:ilvl w:val="0"/>
          <w:numId w:val="1"/>
        </w:numPr>
        <w:spacing w:after="70" w:lineRule="auto" w:line="282"/>
        <w:jc w:val="both"/>
        <w:rPr/>
      </w:pPr>
      <w:r>
        <w:rPr>
          <w:rFonts w:ascii="Times New Roman" w:cs="Times New Roman" w:eastAsia="Times New Roman" w:hAnsi="Times New Roman"/>
          <w:b/>
          <w:bCs/>
          <w:sz w:val="24"/>
          <w:szCs w:val="24"/>
        </w:rPr>
        <w:t>Fairness slices.</w:t>
      </w:r>
      <w:r>
        <w:rPr>
          <w:rFonts w:ascii="Times New Roman" w:cs="Times New Roman" w:eastAsia="Times New Roman" w:hAnsi="Times New Roman"/>
          <w:sz w:val="24"/>
          <w:szCs w:val="24"/>
        </w:rPr>
        <w:t xml:space="preserve"> Error rates are reported by state, crop, language, borrower status and landholding size, to test H03.</w:t>
      </w:r>
    </w:p>
    <w:p w14:paraId="5E236D5B">
      <w:pPr>
        <w:pStyle w:val="style179"/>
        <w:numPr>
          <w:ilvl w:val="0"/>
          <w:numId w:val="1"/>
        </w:numPr>
        <w:spacing w:after="70" w:lineRule="auto" w:line="282"/>
        <w:jc w:val="both"/>
        <w:rPr/>
      </w:pPr>
      <w:r>
        <w:rPr>
          <w:rFonts w:ascii="Times New Roman" w:cs="Times New Roman" w:eastAsia="Times New Roman" w:hAnsi="Times New Roman"/>
          <w:b/>
          <w:bCs/>
          <w:sz w:val="24"/>
          <w:szCs w:val="24"/>
        </w:rPr>
        <w:t>Label-validity audit.</w:t>
      </w:r>
      <w:r>
        <w:rPr>
          <w:rFonts w:ascii="Times New Roman" w:cs="Times New Roman" w:eastAsia="Times New Roman" w:hAnsi="Times New Roman"/>
          <w:sz w:val="24"/>
          <w:szCs w:val="24"/>
        </w:rPr>
        <w:t xml:space="preserve"> Experts review a sample of rejections to separate justified ones from avoidable ones, such as clerical errors or survey delays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w:t>
      </w:r>
    </w:p>
    <w:p w14:paraId="DD784F5C">
      <w:pPr>
        <w:pStyle w:val="style4107"/>
        <w:keepNext/>
        <w:spacing w:before="200" w:after="120"/>
        <w:rPr/>
      </w:pPr>
      <w:r>
        <w:rPr>
          <w:rFonts w:ascii="Times New Roman" w:cs="Times New Roman" w:eastAsia="Times New Roman" w:hAnsi="Times New Roman"/>
          <w:b/>
          <w:bCs/>
          <w:sz w:val="24"/>
          <w:szCs w:val="24"/>
        </w:rPr>
        <w:t>4.8 Explainability and Farmer-Facing Action</w:t>
      </w:r>
    </w:p>
    <w:p w14:paraId="592A7F06">
      <w:pPr>
        <w:pStyle w:val="style0"/>
        <w:spacing w:before="0" w:after="160" w:lineRule="auto" w:line="282"/>
        <w:jc w:val="both"/>
        <w:rPr/>
      </w:pPr>
      <w:r>
        <w:rPr>
          <w:rFonts w:ascii="Times New Roman" w:cs="Times New Roman" w:eastAsia="Times New Roman" w:hAnsi="Times New Roman"/>
          <w:sz w:val="24"/>
          <w:szCs w:val="24"/>
        </w:rPr>
        <w:t xml:space="preserve">Each alert carries SHAP-based attributions </w:t>
      </w:r>
      <w:r>
        <w:rPr/>
        <w:fldChar w:fldCharType="begin"/>
      </w:r>
      <w:r>
        <w:instrText xml:space="preserve"> HYPERLINK \l "ref_shap" </w:instrText>
      </w:r>
      <w:r>
        <w:rPr/>
        <w:fldChar w:fldCharType="separate"/>
      </w:r>
      <w:r>
        <w:rPr>
          <w:rFonts w:ascii="Times New Roman" w:cs="Times New Roman" w:eastAsia="Times New Roman" w:hAnsi="Times New Roman"/>
          <w:color w:val="0563c1"/>
          <w:sz w:val="24"/>
          <w:szCs w:val="24"/>
          <w:u w:val="single"/>
        </w:rPr>
        <w:t>[20]</w:t>
      </w:r>
      <w:r>
        <w:rPr/>
        <w:fldChar w:fldCharType="end"/>
      </w:r>
      <w:r>
        <w:rPr>
          <w:rFonts w:ascii="Times New Roman" w:cs="Times New Roman" w:eastAsia="Times New Roman" w:hAnsi="Times New Roman"/>
          <w:sz w:val="24"/>
          <w:szCs w:val="24"/>
        </w:rPr>
        <w:t xml:space="preserve"> mapped to the categories of Table 3 and converted into plain-language instructions in the farmer's language, for example to confirm bank account details or record the date of the event. The alert goes to a service centre, bank branch or grievance cell, and a human reviewer decides on any action. The system never rejects, delays or down-prioritises a claim on its own.</w:t>
      </w:r>
    </w:p>
    <w:p w14:paraId="6C0A0A3B">
      <w:pPr>
        <w:pStyle w:val="style4107"/>
        <w:keepNext/>
        <w:spacing w:before="200" w:after="120"/>
        <w:rPr/>
      </w:pPr>
      <w:r>
        <w:rPr>
          <w:rFonts w:ascii="Times New Roman" w:cs="Times New Roman" w:eastAsia="Times New Roman" w:hAnsi="Times New Roman"/>
          <w:b/>
          <w:bCs/>
          <w:sz w:val="24"/>
          <w:szCs w:val="24"/>
        </w:rPr>
        <w:t>4.9 Ethics and Data Governance</w:t>
      </w:r>
    </w:p>
    <w:p w14:paraId="67F241AD">
      <w:pPr>
        <w:pStyle w:val="style0"/>
        <w:spacing w:before="0" w:after="160" w:lineRule="auto" w:line="282"/>
        <w:jc w:val="both"/>
        <w:rPr/>
      </w:pPr>
      <w:r>
        <w:rPr>
          <w:rFonts w:ascii="Times New Roman" w:cs="Times New Roman" w:eastAsia="Times New Roman" w:hAnsi="Times New Roman"/>
          <w:sz w:val="24"/>
          <w:szCs w:val="24"/>
        </w:rPr>
        <w:t xml:space="preserve">Claim texts contain personal data, so the design assumes consent or lawful basis, purpose limitation, minimisation and security consistent with the Digital Personal Data Protection Act, 2023 </w:t>
      </w:r>
      <w:r>
        <w:rPr/>
        <w:fldChar w:fldCharType="begin"/>
      </w:r>
      <w:r>
        <w:instrText xml:space="preserve"> HYPERLINK \l "ref_dpdp" </w:instrText>
      </w:r>
      <w:r>
        <w:rPr/>
        <w:fldChar w:fldCharType="separate"/>
      </w:r>
      <w:r>
        <w:rPr>
          <w:rFonts w:ascii="Times New Roman" w:cs="Times New Roman" w:eastAsia="Times New Roman" w:hAnsi="Times New Roman"/>
          <w:color w:val="0563c1"/>
          <w:sz w:val="24"/>
          <w:szCs w:val="24"/>
          <w:u w:val="single"/>
        </w:rPr>
        <w:t>[22]</w:t>
      </w:r>
      <w:r>
        <w:rPr/>
        <w:fldChar w:fldCharType="end"/>
      </w:r>
      <w:r>
        <w:rPr>
          <w:rFonts w:ascii="Times New Roman" w:cs="Times New Roman" w:eastAsia="Times New Roman" w:hAnsi="Times New Roman"/>
          <w:sz w:val="24"/>
          <w:szCs w:val="24"/>
        </w:rPr>
        <w:t>. Text is de-identified before modelling, access is restricted to approved researchers, and institutional ethics review is required before any use of real records. Predictions must never be used to reduce an insurer's liability or discourage enrolment.</w:t>
      </w:r>
    </w:p>
    <w:p w14:paraId="D2188289">
      <w:pPr>
        <w:pStyle w:val="style4106"/>
        <w:keepNext/>
        <w:spacing w:before="280" w:after="140"/>
        <w:rPr/>
      </w:pPr>
      <w:r>
        <w:rPr>
          <w:rFonts w:ascii="Times New Roman" w:cs="Times New Roman" w:eastAsia="Times New Roman" w:hAnsi="Times New Roman"/>
          <w:b/>
          <w:bCs/>
          <w:sz w:val="26"/>
          <w:szCs w:val="26"/>
        </w:rPr>
        <w:t>5. Planned Empirical Design and Expected Outputs</w:t>
      </w:r>
    </w:p>
    <w:p w14:paraId="FC04AE9B">
      <w:pPr>
        <w:pStyle w:val="style0"/>
        <w:spacing w:before="0" w:after="160" w:lineRule="auto" w:line="282"/>
        <w:jc w:val="both"/>
        <w:rPr/>
      </w:pPr>
      <w:r>
        <w:rPr>
          <w:rFonts w:ascii="Times New Roman" w:cs="Times New Roman" w:eastAsia="Times New Roman" w:hAnsi="Times New Roman"/>
          <w:sz w:val="24"/>
          <w:szCs w:val="24"/>
        </w:rPr>
        <w:t>Because no claim-level dataset is publicly available to the authors, this paper does not report model results. Table 5 sets out the planned experiments, the hypothesis each one tests and its decision rule, so that the empirical phase can be judged without changing the plan after seeing results.</w:t>
      </w:r>
    </w:p>
    <w:p w14:paraId="5C93DD3F">
      <w:pPr>
        <w:pStyle w:val="style0"/>
        <w:keepNext/>
        <w:spacing w:before="160" w:after="100"/>
        <w:rPr/>
      </w:pPr>
      <w:r>
        <w:rPr>
          <w:rFonts w:ascii="Times New Roman" w:cs="Times New Roman" w:eastAsia="Times New Roman" w:hAnsi="Times New Roman"/>
          <w:b/>
          <w:bCs/>
          <w:sz w:val="24"/>
          <w:szCs w:val="24"/>
        </w:rPr>
        <w:t>Table 5: Planned Experiments, Hypotheses and Decision Rules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700"/>
        <w:gridCol w:w="2500"/>
        <w:gridCol w:w="2700"/>
        <w:gridCol w:w="3126"/>
      </w:tblGrid>
      <w:tr w14:paraId="663C3135">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74B1FF36">
            <w:pPr>
              <w:pStyle w:val="style0"/>
              <w:spacing w:after="0"/>
              <w:jc w:val="left"/>
              <w:rPr/>
            </w:pPr>
            <w:r>
              <w:rPr>
                <w:rFonts w:ascii="Times New Roman" w:cs="Times New Roman" w:eastAsia="Times New Roman" w:hAnsi="Times New Roman"/>
                <w:b/>
                <w:bCs/>
                <w:sz w:val="20"/>
                <w:szCs w:val="20"/>
              </w:rPr>
              <w:t>ID</w:t>
            </w:r>
          </w:p>
        </w:tc>
        <w:tc>
          <w:tcPr>
            <w:tcW w:w="2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BA9D9962">
            <w:pPr>
              <w:pStyle w:val="style0"/>
              <w:spacing w:after="0"/>
              <w:jc w:val="left"/>
              <w:rPr/>
            </w:pPr>
            <w:r>
              <w:rPr>
                <w:rFonts w:ascii="Times New Roman" w:cs="Times New Roman" w:eastAsia="Times New Roman" w:hAnsi="Times New Roman"/>
                <w:b/>
                <w:bCs/>
                <w:sz w:val="20"/>
                <w:szCs w:val="20"/>
              </w:rPr>
              <w:t>Purpose (hypothesis)</w:t>
            </w:r>
          </w:p>
        </w:tc>
        <w:tc>
          <w:tcPr>
            <w:tcW w:w="2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241B4F9D">
            <w:pPr>
              <w:pStyle w:val="style0"/>
              <w:spacing w:after="0"/>
              <w:jc w:val="left"/>
              <w:rPr/>
            </w:pPr>
            <w:r>
              <w:rPr>
                <w:rFonts w:ascii="Times New Roman" w:cs="Times New Roman" w:eastAsia="Times New Roman" w:hAnsi="Times New Roman"/>
                <w:b/>
                <w:bCs/>
                <w:sz w:val="20"/>
                <w:szCs w:val="20"/>
              </w:rPr>
              <w:t>Data and setting</w:t>
            </w:r>
          </w:p>
        </w:tc>
        <w:tc>
          <w:tcPr>
            <w:tcW w:w="31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tcPr>
          <w:p w14:paraId="2ED122C7">
            <w:pPr>
              <w:pStyle w:val="style0"/>
              <w:spacing w:after="0"/>
              <w:jc w:val="left"/>
              <w:rPr/>
            </w:pPr>
            <w:r>
              <w:rPr>
                <w:rFonts w:ascii="Times New Roman" w:cs="Times New Roman" w:eastAsia="Times New Roman" w:hAnsi="Times New Roman"/>
                <w:b/>
                <w:bCs/>
                <w:sz w:val="20"/>
                <w:szCs w:val="20"/>
              </w:rPr>
              <w:t>Metric and decision rule</w:t>
            </w:r>
          </w:p>
        </w:tc>
      </w:tr>
      <w:tr w14:paraId="73ECC302">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5BE07F">
            <w:pPr>
              <w:pStyle w:val="style0"/>
              <w:spacing w:after="0"/>
              <w:jc w:val="left"/>
              <w:rPr/>
            </w:pPr>
            <w:r>
              <w:rPr>
                <w:rFonts w:ascii="Times New Roman" w:cs="Times New Roman" w:eastAsia="Times New Roman" w:hAnsi="Times New Roman"/>
                <w:sz w:val="20"/>
                <w:szCs w:val="20"/>
              </w:rPr>
              <w:t>E1</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520186">
            <w:pPr>
              <w:pStyle w:val="style0"/>
              <w:spacing w:after="0"/>
              <w:jc w:val="left"/>
              <w:rPr/>
            </w:pPr>
            <w:r>
              <w:rPr>
                <w:rFonts w:ascii="Times New Roman" w:cs="Times New Roman" w:eastAsia="Times New Roman" w:hAnsi="Times New Roman"/>
                <w:sz w:val="20"/>
                <w:szCs w:val="20"/>
              </w:rPr>
              <w:t>Rule-based vs statistical baseline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437278">
            <w:pPr>
              <w:pStyle w:val="style0"/>
              <w:spacing w:after="0"/>
              <w:jc w:val="left"/>
              <w:rPr/>
            </w:pPr>
            <w:r>
              <w:rPr>
                <w:rFonts w:ascii="Times New Roman" w:cs="Times New Roman" w:eastAsia="Times New Roman" w:hAnsi="Times New Roman"/>
                <w:sz w:val="20"/>
                <w:szCs w:val="20"/>
              </w:rPr>
              <w:t>Structured fields, temporal split</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9193F24">
            <w:pPr>
              <w:pStyle w:val="style0"/>
              <w:spacing w:after="0"/>
              <w:jc w:val="left"/>
              <w:rPr/>
            </w:pPr>
            <w:r>
              <w:rPr>
                <w:rFonts w:ascii="Times New Roman" w:cs="Times New Roman" w:eastAsia="Times New Roman" w:hAnsi="Times New Roman"/>
                <w:sz w:val="20"/>
                <w:szCs w:val="20"/>
              </w:rPr>
              <w:t>PR-AUC; recall at fixed precision</w:t>
            </w:r>
          </w:p>
        </w:tc>
      </w:tr>
      <w:tr w14:paraId="D8255D33">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310F94B">
            <w:pPr>
              <w:pStyle w:val="style0"/>
              <w:spacing w:after="0"/>
              <w:jc w:val="left"/>
              <w:rPr/>
            </w:pPr>
            <w:r>
              <w:rPr>
                <w:rFonts w:ascii="Times New Roman" w:cs="Times New Roman" w:eastAsia="Times New Roman" w:hAnsi="Times New Roman"/>
                <w:sz w:val="20"/>
                <w:szCs w:val="20"/>
              </w:rPr>
              <w:t>E2</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FD54802">
            <w:pPr>
              <w:pStyle w:val="style0"/>
              <w:spacing w:after="0"/>
              <w:jc w:val="left"/>
              <w:rPr/>
            </w:pPr>
            <w:r>
              <w:rPr>
                <w:rFonts w:ascii="Times New Roman" w:cs="Times New Roman" w:eastAsia="Times New Roman" w:hAnsi="Times New Roman"/>
                <w:sz w:val="20"/>
                <w:szCs w:val="20"/>
              </w:rPr>
              <w:t>Value of text over structured features (H01)</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5A8305D">
            <w:pPr>
              <w:pStyle w:val="style0"/>
              <w:spacing w:after="0"/>
              <w:jc w:val="left"/>
              <w:rPr/>
            </w:pPr>
            <w:r>
              <w:rPr>
                <w:rFonts w:ascii="Times New Roman" w:cs="Times New Roman" w:eastAsia="Times New Roman" w:hAnsi="Times New Roman"/>
                <w:sz w:val="20"/>
                <w:szCs w:val="20"/>
              </w:rPr>
              <w:t>Add TF-IDF text score to E1 model</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13C0982">
            <w:pPr>
              <w:pStyle w:val="style0"/>
              <w:spacing w:after="0"/>
              <w:jc w:val="left"/>
              <w:rPr/>
            </w:pPr>
            <w:r>
              <w:rPr>
                <w:rFonts w:ascii="Times New Roman" w:cs="Times New Roman" w:eastAsia="Times New Roman" w:hAnsi="Times New Roman"/>
                <w:sz w:val="20"/>
                <w:szCs w:val="20"/>
              </w:rPr>
              <w:t>Paired bootstrap; reject H01 if 95% interval for PR-AUC gain excludes zero</w:t>
            </w:r>
          </w:p>
        </w:tc>
      </w:tr>
      <w:tr w14:paraId="98F40BDA">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688905">
            <w:pPr>
              <w:pStyle w:val="style0"/>
              <w:spacing w:after="0"/>
              <w:jc w:val="left"/>
              <w:rPr/>
            </w:pPr>
            <w:r>
              <w:rPr>
                <w:rFonts w:ascii="Times New Roman" w:cs="Times New Roman" w:eastAsia="Times New Roman" w:hAnsi="Times New Roman"/>
                <w:sz w:val="20"/>
                <w:szCs w:val="20"/>
              </w:rPr>
              <w:t>E3</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50C6FA">
            <w:pPr>
              <w:pStyle w:val="style0"/>
              <w:spacing w:after="0"/>
              <w:jc w:val="left"/>
              <w:rPr/>
            </w:pPr>
            <w:r>
              <w:rPr>
                <w:rFonts w:ascii="Times New Roman" w:cs="Times New Roman" w:eastAsia="Times New Roman" w:hAnsi="Times New Roman"/>
                <w:sz w:val="20"/>
                <w:szCs w:val="20"/>
              </w:rPr>
              <w:t>Transformer vs TF-IDF encoder (H02)</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F1DEFFC8">
            <w:pPr>
              <w:pStyle w:val="style0"/>
              <w:spacing w:after="0"/>
              <w:jc w:val="left"/>
              <w:rPr/>
            </w:pPr>
            <w:r>
              <w:rPr>
                <w:rFonts w:ascii="Times New Roman" w:cs="Times New Roman" w:eastAsia="Times New Roman" w:hAnsi="Times New Roman"/>
                <w:sz w:val="20"/>
                <w:szCs w:val="20"/>
              </w:rPr>
              <w:t>Same text, same folds</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E25C6007">
            <w:pPr>
              <w:pStyle w:val="style0"/>
              <w:spacing w:after="0"/>
              <w:jc w:val="left"/>
              <w:rPr/>
            </w:pPr>
            <w:r>
              <w:rPr>
                <w:rFonts w:ascii="Times New Roman" w:cs="Times New Roman" w:eastAsia="Times New Roman" w:hAnsi="Times New Roman"/>
                <w:sz w:val="20"/>
                <w:szCs w:val="20"/>
              </w:rPr>
              <w:t>Paired bootstrap on text-only PR-AUC; same rule</w:t>
            </w:r>
          </w:p>
        </w:tc>
      </w:tr>
      <w:tr w14:paraId="78C24A5F">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C4767D">
            <w:pPr>
              <w:pStyle w:val="style0"/>
              <w:spacing w:after="0"/>
              <w:jc w:val="left"/>
              <w:rPr/>
            </w:pPr>
            <w:r>
              <w:rPr>
                <w:rFonts w:ascii="Times New Roman" w:cs="Times New Roman" w:eastAsia="Times New Roman" w:hAnsi="Times New Roman"/>
                <w:sz w:val="20"/>
                <w:szCs w:val="20"/>
              </w:rPr>
              <w:t>E4</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196D30D">
            <w:pPr>
              <w:pStyle w:val="style0"/>
              <w:spacing w:after="0"/>
              <w:jc w:val="left"/>
              <w:rPr/>
            </w:pPr>
            <w:r>
              <w:rPr>
                <w:rFonts w:ascii="Times New Roman" w:cs="Times New Roman" w:eastAsia="Times New Roman" w:hAnsi="Times New Roman"/>
                <w:sz w:val="20"/>
                <w:szCs w:val="20"/>
              </w:rPr>
              <w:t>Calibration and cost-sensitive threshold</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BCC68858">
            <w:pPr>
              <w:pStyle w:val="style0"/>
              <w:spacing w:after="0"/>
              <w:jc w:val="left"/>
              <w:rPr/>
            </w:pPr>
            <w:r>
              <w:rPr>
                <w:rFonts w:ascii="Times New Roman" w:cs="Times New Roman" w:eastAsia="Times New Roman" w:hAnsi="Times New Roman"/>
                <w:sz w:val="20"/>
                <w:szCs w:val="20"/>
              </w:rPr>
              <w:t>Fused model, range of c_FP / c_FN</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11C452">
            <w:pPr>
              <w:pStyle w:val="style0"/>
              <w:spacing w:after="0"/>
              <w:jc w:val="left"/>
              <w:rPr/>
            </w:pPr>
            <w:r>
              <w:rPr>
                <w:rFonts w:ascii="Times New Roman" w:cs="Times New Roman" w:eastAsia="Times New Roman" w:hAnsi="Times New Roman"/>
                <w:sz w:val="20"/>
                <w:szCs w:val="20"/>
              </w:rPr>
              <w:t>Brier score; expected cost</w:t>
            </w:r>
          </w:p>
        </w:tc>
      </w:tr>
      <w:tr w14:paraId="DFB7AAC3">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AFADDBBF">
            <w:pPr>
              <w:pStyle w:val="style0"/>
              <w:spacing w:after="0"/>
              <w:jc w:val="left"/>
              <w:rPr/>
            </w:pPr>
            <w:r>
              <w:rPr>
                <w:rFonts w:ascii="Times New Roman" w:cs="Times New Roman" w:eastAsia="Times New Roman" w:hAnsi="Times New Roman"/>
                <w:sz w:val="20"/>
                <w:szCs w:val="20"/>
              </w:rPr>
              <w:t>E5</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2A3207">
            <w:pPr>
              <w:pStyle w:val="style0"/>
              <w:spacing w:after="0"/>
              <w:jc w:val="left"/>
              <w:rPr/>
            </w:pPr>
            <w:r>
              <w:rPr>
                <w:rFonts w:ascii="Times New Roman" w:cs="Times New Roman" w:eastAsia="Times New Roman" w:hAnsi="Times New Roman"/>
                <w:sz w:val="20"/>
                <w:szCs w:val="20"/>
              </w:rPr>
              <w:t>Fairness and transfer (H03)</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980FB4D7">
            <w:pPr>
              <w:pStyle w:val="style0"/>
              <w:spacing w:after="0"/>
              <w:jc w:val="left"/>
              <w:rPr/>
            </w:pPr>
            <w:r>
              <w:rPr>
                <w:rFonts w:ascii="Times New Roman" w:cs="Times New Roman" w:eastAsia="Times New Roman" w:hAnsi="Times New Roman"/>
                <w:sz w:val="20"/>
                <w:szCs w:val="20"/>
              </w:rPr>
              <w:t>State, crop, language, borrower slices; district-held-out split</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849AE42E">
            <w:pPr>
              <w:pStyle w:val="style0"/>
              <w:spacing w:after="0"/>
              <w:jc w:val="left"/>
              <w:rPr/>
            </w:pPr>
            <w:r>
              <w:rPr>
                <w:rFonts w:ascii="Times New Roman" w:cs="Times New Roman" w:eastAsia="Times New Roman" w:hAnsi="Times New Roman"/>
                <w:sz w:val="20"/>
                <w:szCs w:val="20"/>
              </w:rPr>
              <w:t>Permutation test of slice error rates; 5% level with multiple-comparison correction</w:t>
            </w:r>
          </w:p>
        </w:tc>
      </w:tr>
      <w:tr w14:paraId="E3A514B2">
        <w:tblPrEx/>
        <w:trPr>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F1620D">
            <w:pPr>
              <w:pStyle w:val="style0"/>
              <w:spacing w:after="0"/>
              <w:jc w:val="left"/>
              <w:rPr/>
            </w:pPr>
            <w:r>
              <w:rPr>
                <w:rFonts w:ascii="Times New Roman" w:cs="Times New Roman" w:eastAsia="Times New Roman" w:hAnsi="Times New Roman"/>
                <w:sz w:val="20"/>
                <w:szCs w:val="20"/>
              </w:rPr>
              <w:t>E6</w:t>
            </w:r>
          </w:p>
        </w:tc>
        <w:tc>
          <w:tcPr>
            <w:tcW w:w="2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B2E5A8">
            <w:pPr>
              <w:pStyle w:val="style0"/>
              <w:spacing w:after="0"/>
              <w:jc w:val="left"/>
              <w:rPr/>
            </w:pPr>
            <w:r>
              <w:rPr>
                <w:rFonts w:ascii="Times New Roman" w:cs="Times New Roman" w:eastAsia="Times New Roman" w:hAnsi="Times New Roman"/>
                <w:sz w:val="20"/>
                <w:szCs w:val="20"/>
              </w:rPr>
              <w:t>Label validity and correctability (H04)</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1D20AD">
            <w:pPr>
              <w:pStyle w:val="style0"/>
              <w:spacing w:after="0"/>
              <w:jc w:val="left"/>
              <w:rPr/>
            </w:pPr>
            <w:r>
              <w:rPr>
                <w:rFonts w:ascii="Times New Roman" w:cs="Times New Roman" w:eastAsia="Times New Roman" w:hAnsi="Times New Roman"/>
                <w:sz w:val="20"/>
                <w:szCs w:val="20"/>
              </w:rPr>
              <w:t>Expert review of sampled rejections</w:t>
            </w:r>
          </w:p>
        </w:tc>
        <w:tc>
          <w:tcPr>
            <w:tcW w:w="3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0D5B29">
            <w:pPr>
              <w:pStyle w:val="style0"/>
              <w:spacing w:after="0"/>
              <w:jc w:val="left"/>
              <w:rPr/>
            </w:pPr>
            <w:r>
              <w:rPr>
                <w:rFonts w:ascii="Times New Roman" w:cs="Times New Roman" w:eastAsia="Times New Roman" w:hAnsi="Times New Roman"/>
                <w:sz w:val="20"/>
                <w:szCs w:val="20"/>
              </w:rPr>
              <w:t>Two-proportion test on audit sample; 5% level</w:t>
            </w:r>
          </w:p>
        </w:tc>
      </w:tr>
    </w:tbl>
    <w:p w14:paraId="C463E8DC">
      <w:pPr>
        <w:pStyle w:val="style0"/>
        <w:spacing w:after="0" w:lineRule="exact" w:line="120"/>
        <w:rPr/>
      </w:pPr>
    </w:p>
    <w:p w14:paraId="48EFBF89">
      <w:pPr>
        <w:pStyle w:val="style4107"/>
        <w:keepNext/>
        <w:spacing w:before="200" w:after="120"/>
        <w:rPr/>
      </w:pPr>
      <w:r>
        <w:rPr>
          <w:rFonts w:ascii="Times New Roman" w:cs="Times New Roman" w:eastAsia="Times New Roman" w:hAnsi="Times New Roman"/>
          <w:b/>
          <w:bCs/>
          <w:sz w:val="24"/>
          <w:szCs w:val="24"/>
        </w:rPr>
        <w:t>5.1 Hypothetical Illustration of the Intended Output</w:t>
      </w:r>
    </w:p>
    <w:p w14:paraId="DADBBD89">
      <w:pPr>
        <w:pStyle w:val="style0"/>
        <w:spacing w:before="0" w:after="160" w:lineRule="auto" w:line="282"/>
        <w:jc w:val="both"/>
        <w:rPr/>
      </w:pPr>
      <w:r>
        <w:rPr>
          <w:rFonts w:ascii="Times New Roman" w:cs="Times New Roman" w:eastAsia="Times New Roman" w:hAnsi="Times New Roman"/>
          <w:sz w:val="24"/>
          <w:szCs w:val="24"/>
        </w:rPr>
        <w:t xml:space="preserve">The following example is constructed to show the intended behaviour and is not drawn from real data. A farmer reports by phone that hailstorm damaged a wheat plot, and the transcript says the event occurred five days earlier. Stage 1 extracts the cause (a localized peril) and the date, and computes an intimation lag of about 120 hours, beyond a 72-hour window </w:t>
      </w:r>
      <w:r>
        <w:rPr/>
        <w:fldChar w:fldCharType="begin"/>
      </w:r>
      <w:r>
        <w:instrText xml:space="preserve"> HYPERLINK \l "ref_guide" </w:instrText>
      </w:r>
      <w:r>
        <w:rPr/>
        <w:fldChar w:fldCharType="separate"/>
      </w:r>
      <w:r>
        <w:rPr>
          <w:rFonts w:ascii="Times New Roman" w:cs="Times New Roman" w:eastAsia="Times New Roman" w:hAnsi="Times New Roman"/>
          <w:color w:val="0563c1"/>
          <w:sz w:val="24"/>
          <w:szCs w:val="24"/>
          <w:u w:val="single"/>
        </w:rPr>
        <w:t>[3]</w:t>
      </w:r>
      <w:r>
        <w:rPr/>
        <w:fldChar w:fldCharType="end"/>
      </w:r>
      <w:r>
        <w:rPr>
          <w:rFonts w:ascii="Times New Roman" w:cs="Times New Roman" w:eastAsia="Times New Roman" w:hAnsi="Times New Roman"/>
          <w:sz w:val="24"/>
          <w:szCs w:val="24"/>
        </w:rPr>
        <w:t>. Stage 2 adds the policy record, which also shows an incomplete bank field. The output is an elevated risk score with reason codes for Category A (timeliness) and Category B (documentation), so a reviewer can judge whether the delay is justified and correct the bank detail before assessment.</w:t>
      </w:r>
    </w:p>
    <w:p w14:paraId="8CC490F8">
      <w:pPr>
        <w:pStyle w:val="style4106"/>
        <w:keepNext/>
        <w:spacing w:before="280" w:after="140"/>
        <w:rPr/>
      </w:pPr>
      <w:r>
        <w:rPr>
          <w:rFonts w:ascii="Times New Roman" w:cs="Times New Roman" w:eastAsia="Times New Roman" w:hAnsi="Times New Roman"/>
          <w:b/>
          <w:bCs/>
          <w:sz w:val="26"/>
          <w:szCs w:val="26"/>
        </w:rPr>
        <w:t>6. Discussion</w:t>
      </w:r>
    </w:p>
    <w:p w14:paraId="3A903E9A">
      <w:pPr>
        <w:pStyle w:val="style0"/>
        <w:spacing w:before="0" w:after="160" w:lineRule="auto" w:line="282"/>
        <w:jc w:val="both"/>
        <w:rPr/>
      </w:pPr>
      <w:r>
        <w:rPr>
          <w:rFonts w:ascii="Times New Roman" w:cs="Times New Roman" w:eastAsia="Times New Roman" w:hAnsi="Times New Roman"/>
          <w:sz w:val="24"/>
          <w:szCs w:val="24"/>
        </w:rPr>
        <w:t xml:space="preserve">The framework treats rejection as partly a compliance and information problem and not only a hazard problem. This is supported by the causes reported in official and local sources: missing account details, premium remittance delays, portal data issues and clerical mistakes </w:t>
      </w:r>
      <w:r>
        <w:rPr/>
        <w:fldChar w:fldCharType="begin"/>
      </w:r>
      <w:r>
        <w:instrText xml:space="preserve"> HYPERLINK \l "ref_prs" </w:instrText>
      </w:r>
      <w:r>
        <w:rPr/>
        <w:fldChar w:fldCharType="separate"/>
      </w:r>
      <w:r>
        <w:rPr>
          <w:rFonts w:ascii="Times New Roman" w:cs="Times New Roman" w:eastAsia="Times New Roman" w:hAnsi="Times New Roman"/>
          <w:color w:val="0563c1"/>
          <w:sz w:val="24"/>
          <w:szCs w:val="24"/>
          <w:u w:val="single"/>
        </w:rPr>
        <w:t>[1]</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"ref_rs24" </w:instrText>
      </w:r>
      <w:r>
        <w:rPr/>
        <w:fldChar w:fldCharType="separate"/>
      </w:r>
      <w:r>
        <w:rPr>
          <w:rFonts w:ascii="Times New Roman" w:cs="Times New Roman" w:eastAsia="Times New Roman" w:hAnsi="Times New Roman"/>
          <w:color w:val="0563c1"/>
          <w:sz w:val="24"/>
          <w:szCs w:val="24"/>
          <w:u w:val="single"/>
        </w:rPr>
        <w:t>[2]</w:t>
      </w:r>
      <w:r>
        <w:rPr/>
        <w:fldChar w:fldCharType="end"/>
      </w:r>
      <w:r>
        <w:rPr>
          <w:rFonts w:ascii="Times New Roman" w:cs="Times New Roman" w:eastAsia="Times New Roman" w:hAnsi="Times New Roman"/>
          <w:sz w:val="24"/>
          <w:szCs w:val="24"/>
        </w:rPr>
        <w:t xml:space="preserve">, </w:t>
      </w:r>
      <w:r>
        <w:rPr/>
        <w:fldChar w:fldCharType="begin"/>
      </w:r>
      <w:r>
        <w:instrText xml:space="preserve"> HYPERLINK \l "ref_hisar" </w:instrText>
      </w:r>
      <w:r>
        <w:rPr/>
        <w:fldChar w:fldCharType="separate"/>
      </w:r>
      <w:r>
        <w:rPr>
          <w:rFonts w:ascii="Times New Roman" w:cs="Times New Roman" w:eastAsia="Times New Roman" w:hAnsi="Times New Roman"/>
          <w:color w:val="0563c1"/>
          <w:sz w:val="24"/>
          <w:szCs w:val="24"/>
          <w:u w:val="single"/>
        </w:rPr>
        <w:t>[5]</w:t>
      </w:r>
      <w:r>
        <w:rPr/>
        <w:fldChar w:fldCharType="end"/>
      </w:r>
      <w:r>
        <w:rPr>
          <w:rFonts w:ascii="Times New Roman" w:cs="Times New Roman" w:eastAsia="Times New Roman" w:hAnsi="Times New Roman"/>
          <w:sz w:val="24"/>
          <w:szCs w:val="24"/>
        </w:rPr>
        <w:t>. If such causes are common among rejected claims, a pre-emptive tool could improve outcomes without changing eligibility rules; H04 and experiment E6 test this.</w:t>
      </w:r>
    </w:p>
    <w:p w14:paraId="FE67BE2A">
      <w:pPr>
        <w:pStyle w:val="style0"/>
        <w:spacing w:before="0" w:after="160" w:lineRule="auto" w:line="282"/>
        <w:jc w:val="both"/>
        <w:rPr/>
      </w:pPr>
      <w:r>
        <w:rPr>
          <w:rFonts w:ascii="Times New Roman" w:cs="Times New Roman" w:eastAsia="Times New Roman" w:hAnsi="Times New Roman"/>
          <w:sz w:val="24"/>
          <w:szCs w:val="24"/>
        </w:rPr>
        <w:t>The framework fills the gaps in Section 3.1 in a specific way: it moves prediction to the intimation stage (G2), specifies multilingual farmer text (G3), links scores to correctable categories and human action (G4), and builds label-validity, fairness and data-protection checks into the protocol (G5). The claim-level task itself (G1) is defined so that results across states and seasons can be compared.</w:t>
      </w:r>
    </w:p>
    <w:p w14:paraId="22ED81CF">
      <w:pPr>
        <w:pStyle w:val="style0"/>
        <w:spacing w:before="0" w:after="160" w:lineRule="auto" w:line="282"/>
        <w:jc w:val="both"/>
        <w:rPr/>
      </w:pPr>
      <w:r>
        <w:rPr>
          <w:rFonts w:ascii="Times New Roman" w:cs="Times New Roman" w:eastAsia="Times New Roman" w:hAnsi="Times New Roman"/>
          <w:sz w:val="24"/>
          <w:szCs w:val="24"/>
        </w:rPr>
        <w:t xml:space="preserve">Four risks need attention. First, </w:t>
      </w:r>
      <w:r>
        <w:rPr>
          <w:rFonts w:ascii="Times New Roman" w:cs="Times New Roman" w:eastAsia="Times New Roman" w:hAnsi="Times New Roman"/>
          <w:b/>
          <w:bCs/>
          <w:sz w:val="24"/>
          <w:szCs w:val="24"/>
        </w:rPr>
        <w:t>label noise</w:t>
      </w:r>
      <w:r>
        <w:rPr>
          <w:rFonts w:ascii="Times New Roman" w:cs="Times New Roman" w:eastAsia="Times New Roman" w:hAnsi="Times New Roman"/>
          <w:sz w:val="24"/>
          <w:szCs w:val="24"/>
        </w:rPr>
        <w:t xml:space="preserve">: a rejection caused by a survey delay is a system failure, and a model that learns to predict it would normalise that failure; the audit in Section 4.7 partly addresses this. Second, </w:t>
      </w:r>
      <w:r>
        <w:rPr>
          <w:rFonts w:ascii="Times New Roman" w:cs="Times New Roman" w:eastAsia="Times New Roman" w:hAnsi="Times New Roman"/>
          <w:b/>
          <w:bCs/>
          <w:sz w:val="24"/>
          <w:szCs w:val="24"/>
        </w:rPr>
        <w:t>automation bias</w:t>
      </w:r>
      <w:r>
        <w:rPr>
          <w:rFonts w:ascii="Times New Roman" w:cs="Times New Roman" w:eastAsia="Times New Roman" w:hAnsi="Times New Roman"/>
          <w:sz w:val="24"/>
          <w:szCs w:val="24"/>
        </w:rPr>
        <w:t xml:space="preserve">: reviewers may defer to the score, which reason codes, training and the rule that the model never decides help to limit. Third, </w:t>
      </w:r>
      <w:r>
        <w:rPr>
          <w:rFonts w:ascii="Times New Roman" w:cs="Times New Roman" w:eastAsia="Times New Roman" w:hAnsi="Times New Roman"/>
          <w:b/>
          <w:bCs/>
          <w:sz w:val="24"/>
          <w:szCs w:val="24"/>
        </w:rPr>
        <w:t>distribution shift</w:t>
      </w:r>
      <w:r>
        <w:rPr>
          <w:rFonts w:ascii="Times New Roman" w:cs="Times New Roman" w:eastAsia="Times New Roman" w:hAnsi="Times New Roman"/>
          <w:sz w:val="24"/>
          <w:szCs w:val="24"/>
        </w:rPr>
        <w:t xml:space="preserve">: procedures and technologies change, so temporal evaluation and periodic recalibration are required. Fourth, </w:t>
      </w:r>
      <w:r>
        <w:rPr>
          <w:rFonts w:ascii="Times New Roman" w:cs="Times New Roman" w:eastAsia="Times New Roman" w:hAnsi="Times New Roman"/>
          <w:b/>
          <w:bCs/>
          <w:sz w:val="24"/>
          <w:szCs w:val="24"/>
        </w:rPr>
        <w:t>misuse</w:t>
      </w:r>
      <w:r>
        <w:rPr>
          <w:rFonts w:ascii="Times New Roman" w:cs="Times New Roman" w:eastAsia="Times New Roman" w:hAnsi="Times New Roman"/>
          <w:sz w:val="24"/>
          <w:szCs w:val="24"/>
        </w:rPr>
        <w:t>: scores visible to insurers could be used against farmers, so use is restricted to assistance.</w:t>
      </w:r>
    </w:p>
    <w:p w14:paraId="7D5822C7">
      <w:pPr>
        <w:pStyle w:val="style0"/>
        <w:spacing w:before="0" w:after="160" w:lineRule="auto" w:line="282"/>
        <w:jc w:val="both"/>
        <w:rPr/>
      </w:pPr>
      <w:r>
        <w:rPr>
          <w:rFonts w:ascii="Times New Roman" w:cs="Times New Roman" w:eastAsia="Times New Roman" w:hAnsi="Times New Roman"/>
          <w:sz w:val="24"/>
          <w:szCs w:val="24"/>
        </w:rPr>
        <w:t xml:space="preserve">Compared with health-insurance denial work </w:t>
      </w:r>
      <w:r>
        <w:rPr/>
        <w:fldChar w:fldCharType="begin"/>
      </w:r>
      <w:r>
        <w:instrText xml:space="preserve"> HYPERLINK \l "ref_kim" </w:instrText>
      </w:r>
      <w:r>
        <w:rPr/>
        <w:fldChar w:fldCharType="separate"/>
      </w:r>
      <w:r>
        <w:rPr>
          <w:rFonts w:ascii="Times New Roman" w:cs="Times New Roman" w:eastAsia="Times New Roman" w:hAnsi="Times New Roman"/>
          <w:color w:val="0563c1"/>
          <w:sz w:val="24"/>
          <w:szCs w:val="24"/>
          <w:u w:val="single"/>
        </w:rPr>
        <w:t>[8]</w:t>
      </w:r>
      <w:r>
        <w:rPr/>
        <w:fldChar w:fldCharType="end"/>
      </w:r>
      <w:r>
        <w:rPr>
          <w:rFonts w:ascii="Times New Roman" w:cs="Times New Roman" w:eastAsia="Times New Roman" w:hAnsi="Times New Roman"/>
          <w:sz w:val="24"/>
          <w:szCs w:val="24"/>
        </w:rPr>
        <w:t>, the person who can fix a documentation problem in PMFBY is often the farmer or a nearby service point. This favours simple, language-appropriate explanations, and is why the TF-IDF and logistic-regression baselines are kept as serious candidates.</w:t>
      </w:r>
    </w:p>
    <w:p w14:paraId="03B497BD">
      <w:pPr>
        <w:pStyle w:val="style4106"/>
        <w:keepNext/>
        <w:spacing w:before="280" w:after="140"/>
        <w:rPr/>
      </w:pPr>
      <w:r>
        <w:rPr>
          <w:rFonts w:ascii="Times New Roman" w:cs="Times New Roman" w:eastAsia="Times New Roman" w:hAnsi="Times New Roman"/>
          <w:b/>
          <w:bCs/>
          <w:sz w:val="26"/>
          <w:szCs w:val="26"/>
        </w:rPr>
        <w:t>7. Limitations and Future Work</w:t>
      </w:r>
    </w:p>
    <w:p w14:paraId="785A0B3C">
      <w:pPr>
        <w:pStyle w:val="style0"/>
        <w:spacing w:before="0" w:after="160" w:lineRule="auto" w:line="282"/>
        <w:jc w:val="both"/>
        <w:rPr/>
      </w:pPr>
      <w:r>
        <w:rPr>
          <w:rFonts w:ascii="Times New Roman" w:cs="Times New Roman" w:eastAsia="Times New Roman" w:hAnsi="Times New Roman"/>
          <w:sz w:val="24"/>
          <w:szCs w:val="24"/>
        </w:rPr>
        <w:t>The main limitation is that this is a design paper: it reports no empirical results, and the performance of the proposed models on real PMFBY data is unknown. The taxonomy rests on parliamentary replies, a committee summary, press reports and one regional survey, so some categories may be over- or under-represented in the actual rejection population. The press reports describe individual districts and cannot be generalised nationally, and access to claim-level text depends on agreements with government and insurers.</w:t>
      </w:r>
    </w:p>
    <w:p w14:paraId="6FB5EB97">
      <w:pPr>
        <w:pStyle w:val="style0"/>
        <w:spacing w:before="0" w:after="160" w:lineRule="auto" w:line="282"/>
        <w:jc w:val="both"/>
        <w:rPr/>
      </w:pPr>
      <w:r>
        <w:rPr>
          <w:rFonts w:ascii="Times New Roman" w:cs="Times New Roman" w:eastAsia="Times New Roman" w:hAnsi="Times New Roman"/>
          <w:sz w:val="24"/>
          <w:szCs w:val="24"/>
        </w:rPr>
        <w:t>Future work should (i) secure data access or build a de-identified pilot corpus with a state agriculture department; (ii) run experiments E1–E6; (iii) extend the target to partial approval and delay length; (iv) test cross-state transfer in low-resource languages; and (v) examine whether early warnings change outcomes through a field trial.</w:t>
      </w:r>
    </w:p>
    <w:p w14:paraId="C42D95B9">
      <w:pPr>
        <w:pStyle w:val="style4106"/>
        <w:keepNext/>
        <w:spacing w:before="280" w:after="140"/>
        <w:rPr/>
      </w:pPr>
      <w:r>
        <w:rPr>
          <w:rFonts w:ascii="Times New Roman" w:cs="Times New Roman" w:eastAsia="Times New Roman" w:hAnsi="Times New Roman"/>
          <w:b/>
          <w:bCs/>
          <w:sz w:val="26"/>
          <w:szCs w:val="26"/>
        </w:rPr>
        <w:t>8. Conclusion</w:t>
      </w:r>
    </w:p>
    <w:p w14:paraId="E406C733">
      <w:pPr>
        <w:pStyle w:val="style0"/>
        <w:spacing w:before="0" w:after="160" w:lineRule="auto" w:line="282"/>
        <w:jc w:val="both"/>
        <w:rPr/>
      </w:pPr>
      <w:r>
        <w:rPr>
          <w:rFonts w:ascii="Times New Roman" w:cs="Times New Roman" w:eastAsia="Times New Roman" w:hAnsi="Times New Roman"/>
          <w:sz w:val="24"/>
          <w:szCs w:val="24"/>
        </w:rPr>
        <w:t>Claim delay and rejection are widely documented problems in PMFBY, yet the literature we reviewed describes them without predicting them, and the machine-learning work on denial prediction has been developed for different insurance settings. This paper proposed a pre-emptive, two-stage framework that combines multilingual NLP of claim-related text with a calibrated, cost-sensitive risk model, and specified a taxonomy, a feature design, an evaluation protocol and a governance structure for testing it. The intended contribution is the specification of a claim-level, early-stage, explainable and farmer-protective approach, together with a plan that allows its value to be tested transparently once data access is secured. The central premise, that a meaningful share of PMFBY rejections are avoidable procedural failures that leave traces in early data, remains a hypothesis. Testing it would show whether such a system can help more farmers receive the claims to which they are entitled.</w:t>
      </w:r>
    </w:p>
    <w:p w14:paraId="779CA3EA">
      <w:pPr>
        <w:pStyle w:val="style4106"/>
        <w:keepNext/>
        <w:spacing w:before="280" w:after="140"/>
        <w:rPr/>
      </w:pPr>
      <w:r>
        <w:rPr>
          <w:rFonts w:ascii="Times New Roman" w:cs="Times New Roman" w:eastAsia="Times New Roman" w:hAnsi="Times New Roman"/>
          <w:b/>
          <w:bCs/>
          <w:sz w:val="26"/>
          <w:szCs w:val="26"/>
        </w:rPr>
        <w:t>References</w:t>
      </w:r>
    </w:p>
    <w:bookmarkStart w:id="0" w:name="ref_prs"/>
    <w:p w14:paraId="6A864F51">
      <w:pPr>
        <w:pStyle w:val="style0"/>
        <w:spacing w:after="60" w:lineRule="auto" w:line="240"/>
        <w:ind w:left="360" w:hanging="360"/>
        <w:jc w:val="left"/>
        <w:rPr/>
      </w:pPr>
      <w:r>
        <w:rPr>
          <w:rFonts w:ascii="Times New Roman" w:cs="Times New Roman" w:eastAsia="Times New Roman" w:hAnsi="Times New Roman"/>
          <w:sz w:val="20"/>
          <w:szCs w:val="20"/>
        </w:rPr>
        <w:t xml:space="preserve">[1] </w:t>
      </w:r>
      <w:bookmarkEnd w:id="0"/>
      <w:r>
        <w:rPr>
          <w:rFonts w:ascii="Times New Roman" w:cs="Times New Roman" w:eastAsia="Times New Roman" w:hAnsi="Times New Roman"/>
          <w:sz w:val="20"/>
          <w:szCs w:val="20"/>
        </w:rPr>
        <w:t xml:space="preserve">PRS Legislative Research. (2021). </w:t>
      </w:r>
      <w:r>
        <w:rPr>
          <w:rFonts w:ascii="Times New Roman" w:cs="Times New Roman" w:eastAsia="Times New Roman" w:hAnsi="Times New Roman"/>
          <w:i/>
          <w:iCs/>
          <w:sz w:val="20"/>
          <w:szCs w:val="20"/>
        </w:rPr>
        <w:t>Standing Committee report summary: Pradhan Mantri Fasal Bima Yojana – An evaluation</w:t>
      </w:r>
      <w:r>
        <w:rPr>
          <w:rFonts w:ascii="Times New Roman" w:cs="Times New Roman" w:eastAsia="Times New Roman" w:hAnsi="Times New Roman"/>
          <w:sz w:val="20"/>
          <w:szCs w:val="20"/>
        </w:rPr>
        <w:t xml:space="preserve"> (Standing Committee on Agriculture, report submitted 10 August 2021). New Delhi: PRS Legislative Research.</w:t>
      </w:r>
      <w:r>
        <w:rPr>
          <w:rFonts w:ascii="Times New Roman" w:cs="Times New Roman" w:eastAsia="Times New Roman" w:hAnsi="Times New Roman"/>
          <w:color w:val="0563c1"/>
          <w:sz w:val="20"/>
          <w:szCs w:val="20"/>
          <w:u w:val="single"/>
        </w:rPr>
        <w:t xml:space="preserve"> https://prsindia.org</w:t>
      </w:r>
    </w:p>
    <w:bookmarkStart w:id="1" w:name="ref_rs24"/>
    <w:p w14:paraId="15351400">
      <w:pPr>
        <w:pStyle w:val="style0"/>
        <w:spacing w:after="60" w:lineRule="auto" w:line="240"/>
        <w:ind w:left="360" w:hanging="360"/>
        <w:jc w:val="left"/>
        <w:rPr/>
      </w:pPr>
      <w:r>
        <w:rPr>
          <w:rFonts w:ascii="Times New Roman" w:cs="Times New Roman" w:eastAsia="Times New Roman" w:hAnsi="Times New Roman"/>
          <w:sz w:val="20"/>
          <w:szCs w:val="20"/>
        </w:rPr>
        <w:t xml:space="preserve">[2] </w:t>
      </w:r>
      <w:bookmarkEnd w:id="1"/>
      <w:r>
        <w:rPr>
          <w:rFonts w:ascii="Times New Roman" w:cs="Times New Roman" w:eastAsia="Times New Roman" w:hAnsi="Times New Roman"/>
          <w:sz w:val="20"/>
          <w:szCs w:val="20"/>
        </w:rPr>
        <w:t xml:space="preserve">Ministry of Agriculture and Farmers Welfare. (2024, July 26). </w:t>
      </w:r>
      <w:r>
        <w:rPr>
          <w:rFonts w:ascii="Times New Roman" w:cs="Times New Roman" w:eastAsia="Times New Roman" w:hAnsi="Times New Roman"/>
          <w:i/>
          <w:iCs/>
          <w:sz w:val="20"/>
          <w:szCs w:val="20"/>
        </w:rPr>
        <w:t>Delay in settlement of claims under PMFBY and RWBCIS</w:t>
      </w:r>
      <w:r>
        <w:rPr>
          <w:rFonts w:ascii="Times New Roman" w:cs="Times New Roman" w:eastAsia="Times New Roman" w:hAnsi="Times New Roman"/>
          <w:sz w:val="20"/>
          <w:szCs w:val="20"/>
        </w:rPr>
        <w:t xml:space="preserve"> [Rajya Sabha unstarred question no. 265, reply]. Government of India.</w:t>
      </w:r>
      <w:r>
        <w:rPr>
          <w:rFonts w:ascii="Times New Roman" w:cs="Times New Roman" w:eastAsia="Times New Roman" w:hAnsi="Times New Roman"/>
          <w:color w:val="0563c1"/>
          <w:sz w:val="20"/>
          <w:szCs w:val="20"/>
          <w:u w:val="single"/>
        </w:rPr>
        <w:t xml:space="preserve"> https://rsdebate.nic.in/bitstream/123456789/749543/1/PQ_265_26072024_U481_p90_p94.pdf</w:t>
      </w:r>
    </w:p>
    <w:bookmarkStart w:id="2" w:name="ref_guide"/>
    <w:p w14:paraId="38D66D3C">
      <w:pPr>
        <w:pStyle w:val="style0"/>
        <w:spacing w:after="60" w:lineRule="auto" w:line="240"/>
        <w:ind w:left="360" w:hanging="360"/>
        <w:jc w:val="left"/>
        <w:rPr/>
      </w:pPr>
      <w:r>
        <w:rPr>
          <w:rFonts w:ascii="Times New Roman" w:cs="Times New Roman" w:eastAsia="Times New Roman" w:hAnsi="Times New Roman"/>
          <w:sz w:val="20"/>
          <w:szCs w:val="20"/>
        </w:rPr>
        <w:t xml:space="preserve">[3] </w:t>
      </w:r>
      <w:bookmarkEnd w:id="2"/>
      <w:r>
        <w:rPr>
          <w:rFonts w:ascii="Times New Roman" w:cs="Times New Roman" w:eastAsia="Times New Roman" w:hAnsi="Times New Roman"/>
          <w:sz w:val="20"/>
          <w:szCs w:val="20"/>
        </w:rPr>
        <w:t xml:space="preserve">Ministry of Agriculture and Farmers Welfare. (2020). </w:t>
      </w:r>
      <w:r>
        <w:rPr>
          <w:rFonts w:ascii="Times New Roman" w:cs="Times New Roman" w:eastAsia="Times New Roman" w:hAnsi="Times New Roman"/>
          <w:i/>
          <w:iCs/>
          <w:sz w:val="20"/>
          <w:szCs w:val="20"/>
        </w:rPr>
        <w:t>Revised operational guidelines: Pradhan Mantri Fasal Bima Yojana (PMFBY)</w:t>
      </w:r>
      <w:r>
        <w:rPr>
          <w:rFonts w:ascii="Times New Roman" w:cs="Times New Roman" w:eastAsia="Times New Roman" w:hAnsi="Times New Roman"/>
          <w:sz w:val="20"/>
          <w:szCs w:val="20"/>
        </w:rPr>
        <w:t>. Government of India.</w:t>
      </w:r>
      <w:r>
        <w:rPr>
          <w:rFonts w:ascii="Times New Roman" w:cs="Times New Roman" w:eastAsia="Times New Roman" w:hAnsi="Times New Roman"/>
          <w:color w:val="0563c1"/>
          <w:sz w:val="20"/>
          <w:szCs w:val="20"/>
          <w:u w:val="single"/>
        </w:rPr>
        <w:t xml:space="preserve"> https://pmfby.gov.in</w:t>
      </w:r>
    </w:p>
    <w:bookmarkStart w:id="3" w:name="ref_ls"/>
    <w:p w14:paraId="7B2A749C">
      <w:pPr>
        <w:pStyle w:val="style0"/>
        <w:spacing w:after="60" w:lineRule="auto" w:line="240"/>
        <w:ind w:left="360" w:hanging="360"/>
        <w:jc w:val="left"/>
        <w:rPr/>
      </w:pPr>
      <w:r>
        <w:rPr>
          <w:rFonts w:ascii="Times New Roman" w:cs="Times New Roman" w:eastAsia="Times New Roman" w:hAnsi="Times New Roman"/>
          <w:sz w:val="20"/>
          <w:szCs w:val="20"/>
        </w:rPr>
        <w:t>[4] Ministry of Agriculture and Farmers Welfare. (2024, December 10). Grievances filed by farmers against insurance companies [Lok Sabha unstarred question no. 2508, reply]. Government of India. https://eparlib.sansad.in/bitstream/123456789/2985398/1/AU2508_gdhK8C.pdf</w:t>
      </w:r>
      <w:bookmarkEnd w:id="3"/>
    </w:p>
    <w:bookmarkStart w:id="4" w:name="ref_hisar"/>
    <w:p w14:paraId="D0A86FF9">
      <w:pPr>
        <w:pStyle w:val="style0"/>
        <w:spacing w:after="60" w:lineRule="auto" w:line="240"/>
        <w:ind w:left="360" w:hanging="360"/>
        <w:jc w:val="left"/>
        <w:rPr/>
      </w:pPr>
      <w:r>
        <w:rPr>
          <w:rFonts w:ascii="Times New Roman" w:cs="Times New Roman" w:eastAsia="Times New Roman" w:hAnsi="Times New Roman"/>
          <w:sz w:val="20"/>
          <w:szCs w:val="20"/>
        </w:rPr>
        <w:t>[5] Deswal, D. (2025, February 4). Panel directs insurer to resolve Hisar farmers' pending claims. The Tribune (Haryana). https://www.tribuneindia.com/news/haryana/panel-directs-insurer-to-resolve-hisar-farmers-pending-claims/</w:t>
      </w:r>
      <w:bookmarkEnd w:id="4"/>
    </w:p>
    <w:bookmarkStart w:id="5" w:name="ref_karnal"/>
    <w:p w14:paraId="3C646916">
      <w:pPr>
        <w:pStyle w:val="style0"/>
        <w:spacing w:after="60" w:lineRule="auto" w:line="240"/>
        <w:ind w:left="360" w:hanging="360"/>
        <w:jc w:val="left"/>
        <w:rPr/>
      </w:pPr>
      <w:r>
        <w:rPr>
          <w:rFonts w:ascii="Times New Roman" w:cs="Times New Roman" w:eastAsia="Times New Roman" w:hAnsi="Times New Roman"/>
          <w:sz w:val="20"/>
          <w:szCs w:val="20"/>
        </w:rPr>
        <w:t>[6] Arora, P. (2025, January 28). Delay in settlement claims deters Karnal, Kaithal farmers from opting for PM Fasal Bima Yojana. The Tribune (Haryana). https://www.tribuneindia.com/news/haryana/delay-in-settlement-claims-deters-karnal-kaithal-farmers-from-opting-for-pm-fasal-bima-yojana/</w:t>
      </w:r>
      <w:bookmarkEnd w:id="5"/>
    </w:p>
    <w:bookmarkStart w:id="6" w:name="ref_punia"/>
    <w:p w14:paraId="59CD0A41">
      <w:pPr>
        <w:pStyle w:val="style0"/>
        <w:spacing w:after="60" w:lineRule="auto" w:line="240"/>
        <w:ind w:left="360" w:hanging="360"/>
        <w:jc w:val="left"/>
        <w:rPr/>
      </w:pPr>
      <w:r>
        <w:rPr>
          <w:rFonts w:ascii="Times New Roman" w:cs="Times New Roman" w:eastAsia="Times New Roman" w:hAnsi="Times New Roman"/>
          <w:sz w:val="20"/>
          <w:szCs w:val="20"/>
        </w:rPr>
        <w:t>[7] Punia, M., Nimbrayan, P. K., &amp; Yadav, K. K. (2021). Problems, prospects and policy recommendations of crop insurance schemes. Asian Journal of Agricultural Extension, Economics &amp; Sociology, 39(5), 1–9. https://doi.org/10.9734/AJAEES/2021/v39i530572</w:t>
      </w:r>
      <w:bookmarkEnd w:id="6"/>
    </w:p>
    <w:bookmarkStart w:id="7" w:name="ref_kim"/>
    <w:p w14:paraId="C655F75D">
      <w:pPr>
        <w:pStyle w:val="style0"/>
        <w:spacing w:after="60" w:lineRule="auto" w:line="240"/>
        <w:ind w:left="360" w:hanging="360"/>
        <w:jc w:val="left"/>
        <w:rPr/>
      </w:pPr>
      <w:r>
        <w:rPr>
          <w:rFonts w:ascii="Times New Roman" w:cs="Times New Roman" w:eastAsia="Times New Roman" w:hAnsi="Times New Roman"/>
          <w:sz w:val="20"/>
          <w:szCs w:val="20"/>
        </w:rPr>
        <w:t xml:space="preserve">[8] </w:t>
      </w:r>
      <w:bookmarkEnd w:id="7"/>
      <w:r>
        <w:rPr>
          <w:rFonts w:ascii="Times New Roman" w:cs="Times New Roman" w:eastAsia="Times New Roman" w:hAnsi="Times New Roman"/>
          <w:sz w:val="20"/>
          <w:szCs w:val="20"/>
        </w:rPr>
        <w:t xml:space="preserve">Kim, B.-H., Sridharan, S., Atwal, A., &amp; Ganapathi, V. (2020). Deep Claim: Payer response prediction from claims data with deep learning. </w:t>
      </w:r>
      <w:r>
        <w:rPr>
          <w:rFonts w:ascii="Times New Roman" w:cs="Times New Roman" w:eastAsia="Times New Roman" w:hAnsi="Times New Roman"/>
          <w:i/>
          <w:iCs/>
          <w:sz w:val="20"/>
          <w:szCs w:val="20"/>
        </w:rPr>
        <w:t>arXiv preprint</w:t>
      </w:r>
      <w:r>
        <w:rPr>
          <w:rFonts w:ascii="Times New Roman" w:cs="Times New Roman" w:eastAsia="Times New Roman" w:hAnsi="Times New Roman"/>
          <w:sz w:val="20"/>
          <w:szCs w:val="20"/>
        </w:rPr>
        <w:t xml:space="preserve"> arXiv:2007.06229.</w:t>
      </w:r>
      <w:r>
        <w:rPr>
          <w:rFonts w:ascii="Times New Roman" w:cs="Times New Roman" w:eastAsia="Times New Roman" w:hAnsi="Times New Roman"/>
          <w:color w:val="0563c1"/>
          <w:sz w:val="20"/>
          <w:szCs w:val="20"/>
          <w:u w:val="single"/>
        </w:rPr>
        <w:t xml:space="preserve"> https://arxiv.org/abs/2007.06229</w:t>
      </w:r>
    </w:p>
    <w:bookmarkStart w:id="8" w:name="ref_cole"/>
    <w:p w14:paraId="F5DFBB31">
      <w:pPr>
        <w:pStyle w:val="style0"/>
        <w:spacing w:after="60" w:lineRule="auto" w:line="240"/>
        <w:ind w:left="360" w:hanging="360"/>
        <w:jc w:val="left"/>
        <w:rPr/>
      </w:pPr>
      <w:r>
        <w:rPr>
          <w:rFonts w:ascii="Times New Roman" w:cs="Times New Roman" w:eastAsia="Times New Roman" w:hAnsi="Times New Roman"/>
          <w:sz w:val="20"/>
          <w:szCs w:val="20"/>
        </w:rPr>
        <w:t xml:space="preserve">[9] </w:t>
      </w:r>
      <w:bookmarkEnd w:id="8"/>
      <w:r>
        <w:rPr>
          <w:rFonts w:ascii="Times New Roman" w:cs="Times New Roman" w:eastAsia="Times New Roman" w:hAnsi="Times New Roman"/>
          <w:sz w:val="20"/>
          <w:szCs w:val="20"/>
        </w:rPr>
        <w:t xml:space="preserve">Cole, S., Giné, X., Tobacman, J., Topalova, P., Townsend, R., &amp; Vickery, J. (2013). Barriers to household risk management: Evidence from India. </w:t>
      </w:r>
      <w:r>
        <w:rPr>
          <w:rFonts w:ascii="Times New Roman" w:cs="Times New Roman" w:eastAsia="Times New Roman" w:hAnsi="Times New Roman"/>
          <w:i/>
          <w:iCs/>
          <w:sz w:val="20"/>
          <w:szCs w:val="20"/>
        </w:rPr>
        <w:t>American Economic Journal: Applied Economics, 5</w:t>
      </w:r>
      <w:r>
        <w:rPr>
          <w:rFonts w:ascii="Times New Roman" w:cs="Times New Roman" w:eastAsia="Times New Roman" w:hAnsi="Times New Roman"/>
          <w:sz w:val="20"/>
          <w:szCs w:val="20"/>
        </w:rPr>
        <w:t>(1), 104–135.</w:t>
      </w:r>
      <w:r>
        <w:rPr>
          <w:rFonts w:ascii="Times New Roman" w:cs="Times New Roman" w:eastAsia="Times New Roman" w:hAnsi="Times New Roman"/>
          <w:color w:val="0563c1"/>
          <w:sz w:val="20"/>
          <w:szCs w:val="20"/>
          <w:u w:val="single"/>
        </w:rPr>
        <w:t xml:space="preserve"> https://doi.org/10.1257/app.5.1.104</w:t>
      </w:r>
    </w:p>
    <w:bookmarkStart w:id="9" w:name="ref_troxler"/>
    <w:p w14:paraId="03844561">
      <w:pPr>
        <w:pStyle w:val="style0"/>
        <w:spacing w:after="60" w:lineRule="auto" w:line="240"/>
        <w:ind w:left="360" w:hanging="360"/>
        <w:jc w:val="left"/>
        <w:rPr/>
      </w:pPr>
      <w:r>
        <w:rPr>
          <w:rFonts w:ascii="Times New Roman" w:cs="Times New Roman" w:eastAsia="Times New Roman" w:hAnsi="Times New Roman"/>
          <w:sz w:val="20"/>
          <w:szCs w:val="20"/>
        </w:rPr>
        <w:t>[10] Troxler, A., &amp; Schelldorfer, J. (2024). Actuarial applications of natural language processing using transformers: Case studies for using text features in an actuarial context. British Actuarial Journal, 29, e4.</w:t>
      </w:r>
      <w:bookmarkEnd w:id="9"/>
    </w:p>
    <w:bookmarkStart w:id="10" w:name="ref_devlin"/>
    <w:p w14:paraId="899F1C42">
      <w:pPr>
        <w:pStyle w:val="style0"/>
        <w:spacing w:after="60" w:lineRule="auto" w:line="240"/>
        <w:ind w:left="360" w:hanging="360"/>
        <w:jc w:val="left"/>
        <w:rPr/>
      </w:pPr>
      <w:r>
        <w:rPr>
          <w:rFonts w:ascii="Times New Roman" w:cs="Times New Roman" w:eastAsia="Times New Roman" w:hAnsi="Times New Roman"/>
          <w:sz w:val="20"/>
          <w:szCs w:val="20"/>
        </w:rPr>
        <w:t xml:space="preserve">[11] </w:t>
      </w:r>
      <w:bookmarkEnd w:id="10"/>
      <w:r>
        <w:rPr>
          <w:rFonts w:ascii="Times New Roman" w:cs="Times New Roman" w:eastAsia="Times New Roman" w:hAnsi="Times New Roman"/>
          <w:sz w:val="20"/>
          <w:szCs w:val="20"/>
        </w:rPr>
        <w:t xml:space="preserve">Devlin, J., Chang, M.-W., Lee, K., &amp; Toutanova, K. (2019). BERT: Pre-training of deep bidirectional transformers for language understanding. In </w:t>
      </w:r>
      <w:r>
        <w:rPr>
          <w:rFonts w:ascii="Times New Roman" w:cs="Times New Roman" w:eastAsia="Times New Roman" w:hAnsi="Times New Roman"/>
          <w:i/>
          <w:iCs/>
          <w:sz w:val="20"/>
          <w:szCs w:val="20"/>
        </w:rPr>
        <w:t>Proceedings of NAACL-HLT 2019</w:t>
      </w:r>
      <w:r>
        <w:rPr>
          <w:rFonts w:ascii="Times New Roman" w:cs="Times New Roman" w:eastAsia="Times New Roman" w:hAnsi="Times New Roman"/>
          <w:sz w:val="20"/>
          <w:szCs w:val="20"/>
        </w:rPr>
        <w:t xml:space="preserve"> (pp. 4171–4186).</w:t>
      </w:r>
      <w:r>
        <w:rPr>
          <w:rFonts w:ascii="Times New Roman" w:cs="Times New Roman" w:eastAsia="Times New Roman" w:hAnsi="Times New Roman"/>
          <w:color w:val="0563c1"/>
          <w:sz w:val="20"/>
          <w:szCs w:val="20"/>
          <w:u w:val="single"/>
        </w:rPr>
        <w:t xml:space="preserve"> https://doi.org/10.18653/v1/N19-1423</w:t>
      </w:r>
    </w:p>
    <w:bookmarkStart w:id="11" w:name="ref_muril"/>
    <w:p w14:paraId="7840E11A">
      <w:pPr>
        <w:pStyle w:val="style0"/>
        <w:spacing w:after="60" w:lineRule="auto" w:line="240"/>
        <w:ind w:left="360" w:hanging="360"/>
        <w:jc w:val="left"/>
        <w:rPr/>
      </w:pPr>
      <w:r>
        <w:rPr>
          <w:rFonts w:ascii="Times New Roman" w:cs="Times New Roman" w:eastAsia="Times New Roman" w:hAnsi="Times New Roman"/>
          <w:sz w:val="20"/>
          <w:szCs w:val="20"/>
        </w:rPr>
        <w:t xml:space="preserve">[12] </w:t>
      </w:r>
      <w:bookmarkEnd w:id="11"/>
      <w:r>
        <w:rPr>
          <w:rFonts w:ascii="Times New Roman" w:cs="Times New Roman" w:eastAsia="Times New Roman" w:hAnsi="Times New Roman"/>
          <w:sz w:val="20"/>
          <w:szCs w:val="20"/>
        </w:rPr>
        <w:t xml:space="preserve">Khanuja, S., Bansal, D., Mehtani, S., et al. (2021). MuRIL: Multilingual representations for Indian languages. </w:t>
      </w:r>
      <w:r>
        <w:rPr>
          <w:rFonts w:ascii="Times New Roman" w:cs="Times New Roman" w:eastAsia="Times New Roman" w:hAnsi="Times New Roman"/>
          <w:i/>
          <w:iCs/>
          <w:sz w:val="20"/>
          <w:szCs w:val="20"/>
        </w:rPr>
        <w:t>arXiv preprint</w:t>
      </w:r>
      <w:r>
        <w:rPr>
          <w:rFonts w:ascii="Times New Roman" w:cs="Times New Roman" w:eastAsia="Times New Roman" w:hAnsi="Times New Roman"/>
          <w:sz w:val="20"/>
          <w:szCs w:val="20"/>
        </w:rPr>
        <w:t xml:space="preserve"> arXiv:2103.10730.</w:t>
      </w:r>
      <w:r>
        <w:rPr>
          <w:rFonts w:ascii="Times New Roman" w:cs="Times New Roman" w:eastAsia="Times New Roman" w:hAnsi="Times New Roman"/>
          <w:color w:val="0563c1"/>
          <w:sz w:val="20"/>
          <w:szCs w:val="20"/>
          <w:u w:val="single"/>
        </w:rPr>
        <w:t xml:space="preserve"> https://arxiv.org/abs/2103.10730</w:t>
      </w:r>
    </w:p>
    <w:bookmarkStart w:id="12" w:name="ref_indic"/>
    <w:p w14:paraId="5275433B">
      <w:pPr>
        <w:pStyle w:val="style0"/>
        <w:spacing w:after="60" w:lineRule="auto" w:line="240"/>
        <w:ind w:left="360" w:hanging="360"/>
        <w:jc w:val="left"/>
        <w:rPr/>
      </w:pPr>
      <w:r>
        <w:rPr>
          <w:rFonts w:ascii="Times New Roman" w:cs="Times New Roman" w:eastAsia="Times New Roman" w:hAnsi="Times New Roman"/>
          <w:sz w:val="20"/>
          <w:szCs w:val="20"/>
        </w:rPr>
        <w:t xml:space="preserve">[13] </w:t>
      </w:r>
      <w:bookmarkEnd w:id="12"/>
      <w:r>
        <w:rPr>
          <w:rFonts w:ascii="Times New Roman" w:cs="Times New Roman" w:eastAsia="Times New Roman" w:hAnsi="Times New Roman"/>
          <w:sz w:val="20"/>
          <w:szCs w:val="20"/>
        </w:rPr>
        <w:t xml:space="preserve">Kakwani, D., Kunchukuttan, A., Golla, S., et al. (2020). IndicNLPSuite: Monolingual corpora, evaluation benchmarks and pre-trained multilingual language models for Indian languages. In </w:t>
      </w:r>
      <w:r>
        <w:rPr>
          <w:rFonts w:ascii="Times New Roman" w:cs="Times New Roman" w:eastAsia="Times New Roman" w:hAnsi="Times New Roman"/>
          <w:i/>
          <w:iCs/>
          <w:sz w:val="20"/>
          <w:szCs w:val="20"/>
        </w:rPr>
        <w:t>Findings of EMNLP 2020</w:t>
      </w:r>
      <w:r>
        <w:rPr>
          <w:rFonts w:ascii="Times New Roman" w:cs="Times New Roman" w:eastAsia="Times New Roman" w:hAnsi="Times New Roman"/>
          <w:sz w:val="20"/>
          <w:szCs w:val="20"/>
        </w:rPr>
        <w:t>.</w:t>
      </w:r>
    </w:p>
    <w:bookmarkStart w:id="13" w:name="ref_salton"/>
    <w:p w14:paraId="B2613086">
      <w:pPr>
        <w:pStyle w:val="style0"/>
        <w:spacing w:after="60" w:lineRule="auto" w:line="240"/>
        <w:ind w:left="360" w:hanging="360"/>
        <w:jc w:val="left"/>
        <w:rPr/>
      </w:pPr>
      <w:r>
        <w:rPr>
          <w:rFonts w:ascii="Times New Roman" w:cs="Times New Roman" w:eastAsia="Times New Roman" w:hAnsi="Times New Roman"/>
          <w:sz w:val="20"/>
          <w:szCs w:val="20"/>
        </w:rPr>
        <w:t xml:space="preserve">[14] </w:t>
      </w:r>
      <w:bookmarkEnd w:id="13"/>
      <w:r>
        <w:rPr>
          <w:rFonts w:ascii="Times New Roman" w:cs="Times New Roman" w:eastAsia="Times New Roman" w:hAnsi="Times New Roman"/>
          <w:sz w:val="20"/>
          <w:szCs w:val="20"/>
        </w:rPr>
        <w:t xml:space="preserve">Salton, G., &amp; Buckley, C. (1988). Term-weighting approaches in automatic text retrieval. </w:t>
      </w:r>
      <w:r>
        <w:rPr>
          <w:rFonts w:ascii="Times New Roman" w:cs="Times New Roman" w:eastAsia="Times New Roman" w:hAnsi="Times New Roman"/>
          <w:i/>
          <w:iCs/>
          <w:sz w:val="20"/>
          <w:szCs w:val="20"/>
        </w:rPr>
        <w:t>Information Processing &amp; Management, 24</w:t>
      </w:r>
      <w:r>
        <w:rPr>
          <w:rFonts w:ascii="Times New Roman" w:cs="Times New Roman" w:eastAsia="Times New Roman" w:hAnsi="Times New Roman"/>
          <w:sz w:val="20"/>
          <w:szCs w:val="20"/>
        </w:rPr>
        <w:t>(5), 513–523.</w:t>
      </w:r>
      <w:r>
        <w:rPr>
          <w:rFonts w:ascii="Times New Roman" w:cs="Times New Roman" w:eastAsia="Times New Roman" w:hAnsi="Times New Roman"/>
          <w:color w:val="0563c1"/>
          <w:sz w:val="20"/>
          <w:szCs w:val="20"/>
          <w:u w:val="single"/>
        </w:rPr>
        <w:t xml:space="preserve"> https://doi.org/10.1016/0306-4573(88)90021-0</w:t>
      </w:r>
    </w:p>
    <w:bookmarkStart w:id="14" w:name="ref_pr"/>
    <w:p w14:paraId="B6A10B8F">
      <w:pPr>
        <w:pStyle w:val="style0"/>
        <w:spacing w:after="60" w:lineRule="auto" w:line="240"/>
        <w:ind w:left="360" w:hanging="360"/>
        <w:jc w:val="left"/>
        <w:rPr/>
      </w:pPr>
      <w:r>
        <w:rPr>
          <w:rFonts w:ascii="Times New Roman" w:cs="Times New Roman" w:eastAsia="Times New Roman" w:hAnsi="Times New Roman"/>
          <w:sz w:val="20"/>
          <w:szCs w:val="20"/>
        </w:rPr>
        <w:t xml:space="preserve">[15] </w:t>
      </w:r>
      <w:bookmarkEnd w:id="14"/>
      <w:r>
        <w:rPr>
          <w:rFonts w:ascii="Times New Roman" w:cs="Times New Roman" w:eastAsia="Times New Roman" w:hAnsi="Times New Roman"/>
          <w:sz w:val="20"/>
          <w:szCs w:val="20"/>
        </w:rPr>
        <w:t xml:space="preserve">Davis, J., &amp; Goadrich, M. (2006). The relationship between precision-recall and ROC curves. In </w:t>
      </w:r>
      <w:r>
        <w:rPr>
          <w:rFonts w:ascii="Times New Roman" w:cs="Times New Roman" w:eastAsia="Times New Roman" w:hAnsi="Times New Roman"/>
          <w:i/>
          <w:iCs/>
          <w:sz w:val="20"/>
          <w:szCs w:val="20"/>
        </w:rPr>
        <w:t>Proceedings of the 23rd International Conference on Machine Learning</w:t>
      </w:r>
      <w:r>
        <w:rPr>
          <w:rFonts w:ascii="Times New Roman" w:cs="Times New Roman" w:eastAsia="Times New Roman" w:hAnsi="Times New Roman"/>
          <w:sz w:val="20"/>
          <w:szCs w:val="20"/>
        </w:rPr>
        <w:t xml:space="preserve"> (pp. 233–240).</w:t>
      </w:r>
      <w:r>
        <w:rPr>
          <w:rFonts w:ascii="Times New Roman" w:cs="Times New Roman" w:eastAsia="Times New Roman" w:hAnsi="Times New Roman"/>
          <w:color w:val="0563c1"/>
          <w:sz w:val="20"/>
          <w:szCs w:val="20"/>
          <w:u w:val="single"/>
        </w:rPr>
        <w:t xml:space="preserve"> https://doi.org/10.1145/1143844.1143874</w:t>
      </w:r>
    </w:p>
    <w:bookmarkStart w:id="15" w:name="ref_smote"/>
    <w:p w14:paraId="4989F3A8">
      <w:pPr>
        <w:pStyle w:val="style0"/>
        <w:spacing w:after="60" w:lineRule="auto" w:line="240"/>
        <w:ind w:left="360" w:hanging="360"/>
        <w:jc w:val="left"/>
        <w:rPr/>
      </w:pPr>
      <w:r>
        <w:rPr>
          <w:rFonts w:ascii="Times New Roman" w:cs="Times New Roman" w:eastAsia="Times New Roman" w:hAnsi="Times New Roman"/>
          <w:sz w:val="20"/>
          <w:szCs w:val="20"/>
        </w:rPr>
        <w:t xml:space="preserve">[16] </w:t>
      </w:r>
      <w:bookmarkEnd w:id="15"/>
      <w:r>
        <w:rPr>
          <w:rFonts w:ascii="Times New Roman" w:cs="Times New Roman" w:eastAsia="Times New Roman" w:hAnsi="Times New Roman"/>
          <w:sz w:val="20"/>
          <w:szCs w:val="20"/>
        </w:rPr>
        <w:t xml:space="preserve">Chawla, N. V., Bowyer, K. W., Hall, L. O., &amp; Kegelmeyer, W. P. (2002). SMOTE: Synthetic minority over-sampling technique. </w:t>
      </w:r>
      <w:r>
        <w:rPr>
          <w:rFonts w:ascii="Times New Roman" w:cs="Times New Roman" w:eastAsia="Times New Roman" w:hAnsi="Times New Roman"/>
          <w:i/>
          <w:iCs/>
          <w:sz w:val="20"/>
          <w:szCs w:val="20"/>
        </w:rPr>
        <w:t>Journal of Artificial Intelligence Research, 16</w:t>
      </w:r>
      <w:r>
        <w:rPr>
          <w:rFonts w:ascii="Times New Roman" w:cs="Times New Roman" w:eastAsia="Times New Roman" w:hAnsi="Times New Roman"/>
          <w:sz w:val="20"/>
          <w:szCs w:val="20"/>
        </w:rPr>
        <w:t>, 321–357.</w:t>
      </w:r>
      <w:r>
        <w:rPr>
          <w:rFonts w:ascii="Times New Roman" w:cs="Times New Roman" w:eastAsia="Times New Roman" w:hAnsi="Times New Roman"/>
          <w:color w:val="0563c1"/>
          <w:sz w:val="20"/>
          <w:szCs w:val="20"/>
          <w:u w:val="single"/>
        </w:rPr>
        <w:t xml:space="preserve"> https://doi.org/10.1613/jair.953</w:t>
      </w:r>
    </w:p>
    <w:bookmarkStart w:id="16" w:name="ref_elkan"/>
    <w:p w14:paraId="102617E9">
      <w:pPr>
        <w:pStyle w:val="style0"/>
        <w:spacing w:after="60" w:lineRule="auto" w:line="240"/>
        <w:ind w:left="360" w:hanging="360"/>
        <w:jc w:val="left"/>
        <w:rPr/>
      </w:pPr>
      <w:r>
        <w:rPr>
          <w:rFonts w:ascii="Times New Roman" w:cs="Times New Roman" w:eastAsia="Times New Roman" w:hAnsi="Times New Roman"/>
          <w:sz w:val="20"/>
          <w:szCs w:val="20"/>
        </w:rPr>
        <w:t xml:space="preserve">[17] </w:t>
      </w:r>
      <w:bookmarkEnd w:id="16"/>
      <w:r>
        <w:rPr>
          <w:rFonts w:ascii="Times New Roman" w:cs="Times New Roman" w:eastAsia="Times New Roman" w:hAnsi="Times New Roman"/>
          <w:sz w:val="20"/>
          <w:szCs w:val="20"/>
        </w:rPr>
        <w:t xml:space="preserve">Elkan, C. (2001). The foundations of cost-sensitive learning. In </w:t>
      </w:r>
      <w:r>
        <w:rPr>
          <w:rFonts w:ascii="Times New Roman" w:cs="Times New Roman" w:eastAsia="Times New Roman" w:hAnsi="Times New Roman"/>
          <w:i/>
          <w:iCs/>
          <w:sz w:val="20"/>
          <w:szCs w:val="20"/>
        </w:rPr>
        <w:t>Proceedings of the 17th International Joint Conference on Artificial Intelligence</w:t>
      </w:r>
      <w:r>
        <w:rPr>
          <w:rFonts w:ascii="Times New Roman" w:cs="Times New Roman" w:eastAsia="Times New Roman" w:hAnsi="Times New Roman"/>
          <w:sz w:val="20"/>
          <w:szCs w:val="20"/>
        </w:rPr>
        <w:t xml:space="preserve"> (pp. 973–978).</w:t>
      </w:r>
    </w:p>
    <w:bookmarkStart w:id="17" w:name="ref_xgb"/>
    <w:p w14:paraId="E2290E46">
      <w:pPr>
        <w:pStyle w:val="style0"/>
        <w:spacing w:after="60" w:lineRule="auto" w:line="240"/>
        <w:ind w:left="360" w:hanging="360"/>
        <w:jc w:val="left"/>
        <w:rPr/>
      </w:pPr>
      <w:r>
        <w:rPr>
          <w:rFonts w:ascii="Times New Roman" w:cs="Times New Roman" w:eastAsia="Times New Roman" w:hAnsi="Times New Roman"/>
          <w:sz w:val="20"/>
          <w:szCs w:val="20"/>
        </w:rPr>
        <w:t xml:space="preserve">[18] </w:t>
      </w:r>
      <w:bookmarkEnd w:id="17"/>
      <w:r>
        <w:rPr>
          <w:rFonts w:ascii="Times New Roman" w:cs="Times New Roman" w:eastAsia="Times New Roman" w:hAnsi="Times New Roman"/>
          <w:sz w:val="20"/>
          <w:szCs w:val="20"/>
        </w:rPr>
        <w:t xml:space="preserve">Chen, T., &amp; Guestrin, C. (2016). XGBoost: A scalable tree boosting system. In </w:t>
      </w:r>
      <w:r>
        <w:rPr>
          <w:rFonts w:ascii="Times New Roman" w:cs="Times New Roman" w:eastAsia="Times New Roman" w:hAnsi="Times New Roman"/>
          <w:i/>
          <w:iCs/>
          <w:sz w:val="20"/>
          <w:szCs w:val="20"/>
        </w:rPr>
        <w:t>Proceedings of the 22nd ACM SIGKDD International Conference on Knowledge Discovery and Data Mining</w:t>
      </w:r>
      <w:r>
        <w:rPr>
          <w:rFonts w:ascii="Times New Roman" w:cs="Times New Roman" w:eastAsia="Times New Roman" w:hAnsi="Times New Roman"/>
          <w:sz w:val="20"/>
          <w:szCs w:val="20"/>
        </w:rPr>
        <w:t xml:space="preserve"> (pp. 785–794).</w:t>
      </w:r>
      <w:r>
        <w:rPr>
          <w:rFonts w:ascii="Times New Roman" w:cs="Times New Roman" w:eastAsia="Times New Roman" w:hAnsi="Times New Roman"/>
          <w:color w:val="0563c1"/>
          <w:sz w:val="20"/>
          <w:szCs w:val="20"/>
          <w:u w:val="single"/>
        </w:rPr>
        <w:t xml:space="preserve"> https://doi.org/10.1145/2939672.2939785</w:t>
      </w:r>
    </w:p>
    <w:bookmarkStart w:id="18" w:name="ref_niculescu"/>
    <w:p w14:paraId="C0A2832B">
      <w:pPr>
        <w:pStyle w:val="style0"/>
        <w:spacing w:after="60" w:lineRule="auto" w:line="240"/>
        <w:ind w:left="360" w:hanging="360"/>
        <w:jc w:val="left"/>
        <w:rPr/>
      </w:pPr>
      <w:r>
        <w:rPr>
          <w:rFonts w:ascii="Times New Roman" w:cs="Times New Roman" w:eastAsia="Times New Roman" w:hAnsi="Times New Roman"/>
          <w:sz w:val="20"/>
          <w:szCs w:val="20"/>
        </w:rPr>
        <w:t xml:space="preserve">[19] </w:t>
      </w:r>
      <w:bookmarkEnd w:id="18"/>
      <w:r>
        <w:rPr>
          <w:rFonts w:ascii="Times New Roman" w:cs="Times New Roman" w:eastAsia="Times New Roman" w:hAnsi="Times New Roman"/>
          <w:sz w:val="20"/>
          <w:szCs w:val="20"/>
        </w:rPr>
        <w:t xml:space="preserve">Niculescu-Mizil, A., &amp; Caruana, R. (2005). Predicting good probabilities with supervised learning. In </w:t>
      </w:r>
      <w:r>
        <w:rPr>
          <w:rFonts w:ascii="Times New Roman" w:cs="Times New Roman" w:eastAsia="Times New Roman" w:hAnsi="Times New Roman"/>
          <w:i/>
          <w:iCs/>
          <w:sz w:val="20"/>
          <w:szCs w:val="20"/>
        </w:rPr>
        <w:t>Proceedings of the 22nd International Conference on Machine Learning</w:t>
      </w:r>
      <w:r>
        <w:rPr>
          <w:rFonts w:ascii="Times New Roman" w:cs="Times New Roman" w:eastAsia="Times New Roman" w:hAnsi="Times New Roman"/>
          <w:sz w:val="20"/>
          <w:szCs w:val="20"/>
        </w:rPr>
        <w:t xml:space="preserve"> (pp. 625–632).</w:t>
      </w:r>
      <w:r>
        <w:rPr>
          <w:rFonts w:ascii="Times New Roman" w:cs="Times New Roman" w:eastAsia="Times New Roman" w:hAnsi="Times New Roman"/>
          <w:color w:val="0563c1"/>
          <w:sz w:val="20"/>
          <w:szCs w:val="20"/>
          <w:u w:val="single"/>
        </w:rPr>
        <w:t xml:space="preserve"> https://doi.org/10.1145/1102351.1102430</w:t>
      </w:r>
    </w:p>
    <w:bookmarkStart w:id="19" w:name="ref_shap"/>
    <w:p w14:paraId="89D202A1">
      <w:pPr>
        <w:pStyle w:val="style0"/>
        <w:spacing w:after="60" w:lineRule="auto" w:line="240"/>
        <w:ind w:left="360" w:hanging="360"/>
        <w:jc w:val="left"/>
        <w:rPr/>
      </w:pPr>
      <w:r>
        <w:rPr>
          <w:rFonts w:ascii="Times New Roman" w:cs="Times New Roman" w:eastAsia="Times New Roman" w:hAnsi="Times New Roman"/>
          <w:sz w:val="20"/>
          <w:szCs w:val="20"/>
        </w:rPr>
        <w:t xml:space="preserve">[20] </w:t>
      </w:r>
      <w:bookmarkEnd w:id="19"/>
      <w:r>
        <w:rPr>
          <w:rFonts w:ascii="Times New Roman" w:cs="Times New Roman" w:eastAsia="Times New Roman" w:hAnsi="Times New Roman"/>
          <w:sz w:val="20"/>
          <w:szCs w:val="20"/>
        </w:rPr>
        <w:t xml:space="preserve">Lundberg, S. M., &amp; Lee, S.-I. (2017). A unified approach to interpreting model predictions. In </w:t>
      </w:r>
      <w:r>
        <w:rPr>
          <w:rFonts w:ascii="Times New Roman" w:cs="Times New Roman" w:eastAsia="Times New Roman" w:hAnsi="Times New Roman"/>
          <w:i/>
          <w:iCs/>
          <w:sz w:val="20"/>
          <w:szCs w:val="20"/>
        </w:rPr>
        <w:t>Advances in Neural Information Processing Systems, 30</w:t>
      </w:r>
      <w:r>
        <w:rPr>
          <w:rFonts w:ascii="Times New Roman" w:cs="Times New Roman" w:eastAsia="Times New Roman" w:hAnsi="Times New Roman"/>
          <w:sz w:val="20"/>
          <w:szCs w:val="20"/>
        </w:rPr>
        <w:t>.</w:t>
      </w:r>
    </w:p>
    <w:bookmarkStart w:id="20" w:name="ref_doshi"/>
    <w:p w14:paraId="F7CD50BF">
      <w:pPr>
        <w:pStyle w:val="style0"/>
        <w:spacing w:after="60" w:lineRule="auto" w:line="240"/>
        <w:ind w:left="360" w:hanging="360"/>
        <w:jc w:val="left"/>
        <w:rPr/>
      </w:pPr>
      <w:r>
        <w:rPr>
          <w:rFonts w:ascii="Times New Roman" w:cs="Times New Roman" w:eastAsia="Times New Roman" w:hAnsi="Times New Roman"/>
          <w:sz w:val="20"/>
          <w:szCs w:val="20"/>
        </w:rPr>
        <w:t xml:space="preserve">[21] </w:t>
      </w:r>
      <w:bookmarkEnd w:id="20"/>
      <w:r>
        <w:rPr>
          <w:rFonts w:ascii="Times New Roman" w:cs="Times New Roman" w:eastAsia="Times New Roman" w:hAnsi="Times New Roman"/>
          <w:sz w:val="20"/>
          <w:szCs w:val="20"/>
        </w:rPr>
        <w:t xml:space="preserve">Doshi-Velez, F., &amp; Kim, B. (2017). Towards a rigorous science of interpretable machine learning. </w:t>
      </w:r>
      <w:r>
        <w:rPr>
          <w:rFonts w:ascii="Times New Roman" w:cs="Times New Roman" w:eastAsia="Times New Roman" w:hAnsi="Times New Roman"/>
          <w:i/>
          <w:iCs/>
          <w:sz w:val="20"/>
          <w:szCs w:val="20"/>
        </w:rPr>
        <w:t>arXiv preprint</w:t>
      </w:r>
      <w:r>
        <w:rPr>
          <w:rFonts w:ascii="Times New Roman" w:cs="Times New Roman" w:eastAsia="Times New Roman" w:hAnsi="Times New Roman"/>
          <w:sz w:val="20"/>
          <w:szCs w:val="20"/>
        </w:rPr>
        <w:t xml:space="preserve"> arXiv:1702.08608.</w:t>
      </w:r>
      <w:r>
        <w:rPr>
          <w:rFonts w:ascii="Times New Roman" w:cs="Times New Roman" w:eastAsia="Times New Roman" w:hAnsi="Times New Roman"/>
          <w:color w:val="0563c1"/>
          <w:sz w:val="20"/>
          <w:szCs w:val="20"/>
          <w:u w:val="single"/>
        </w:rPr>
        <w:t xml:space="preserve"> https://arxiv.org/abs/1702.08608</w:t>
      </w:r>
    </w:p>
    <w:bookmarkStart w:id="21" w:name="ref_dpdp"/>
    <w:p w14:paraId="47EE257A">
      <w:pPr>
        <w:pStyle w:val="style0"/>
        <w:spacing w:after="60" w:lineRule="auto" w:line="240"/>
        <w:ind w:left="360" w:hanging="360"/>
        <w:jc w:val="left"/>
        <w:rPr/>
      </w:pPr>
      <w:r>
        <w:rPr>
          <w:rFonts w:ascii="Times New Roman" w:cs="Times New Roman" w:eastAsia="Times New Roman" w:hAnsi="Times New Roman"/>
          <w:sz w:val="20"/>
          <w:szCs w:val="20"/>
        </w:rPr>
        <w:t xml:space="preserve">[22] </w:t>
      </w:r>
      <w:bookmarkEnd w:id="21"/>
      <w:r>
        <w:rPr>
          <w:rFonts w:ascii="Times New Roman" w:cs="Times New Roman" w:eastAsia="Times New Roman" w:hAnsi="Times New Roman"/>
          <w:sz w:val="20"/>
          <w:szCs w:val="20"/>
        </w:rPr>
        <w:t xml:space="preserve">Government of India. (2023). </w:t>
      </w:r>
      <w:r>
        <w:rPr>
          <w:rFonts w:ascii="Times New Roman" w:cs="Times New Roman" w:eastAsia="Times New Roman" w:hAnsi="Times New Roman"/>
          <w:i/>
          <w:iCs/>
          <w:sz w:val="20"/>
          <w:szCs w:val="20"/>
        </w:rPr>
        <w:t>The Digital Personal Data Protection Act, 2023</w:t>
      </w:r>
      <w:r>
        <w:rPr>
          <w:rFonts w:ascii="Times New Roman" w:cs="Times New Roman" w:eastAsia="Times New Roman" w:hAnsi="Times New Roman"/>
          <w:sz w:val="20"/>
          <w:szCs w:val="20"/>
        </w:rPr>
        <w:t>. Ministry of Law and Justice.</w:t>
      </w:r>
    </w:p>
    <w:sectPr>
      <w:pgSz w:w="11906" w:h="16838" w:orient="portrait"/>
      <w:pgMar w:top="1440" w:right="1440" w:bottom="1440" w:left="144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FFFFFFFF"/>
    <w:lvl w:ilvl="0" w:tentative="1">
      <w:start w:val="1"/>
      <w:numFmt w:val="bullet"/>
      <w:lvlText w:val="•"/>
      <w:lvlJc w:val="left"/>
      <w:pPr>
        <w:ind w:left="720" w:hanging="360"/>
      </w:pPr>
    </w:lvl>
  </w:abstractNum>
  <w:abstractNum w:abstractNumId="2">
    <w:nsid w:val="00000002"/>
    <w:multiLevelType w:val="hybridMultilevel"/>
    <w:tmpl w:val="FFFFFFFF"/>
    <w:lvl w:ilvl="0" w:tentative="1">
      <w:start w:val="1"/>
      <w:numFmt w:val="decimal"/>
      <w:lvlText w:val="%1."/>
      <w:lvlJc w:val="left"/>
      <w:pPr>
        <w:ind w:left="720" w:hanging="360"/>
      </w:pPr>
    </w:lvl>
  </w:abstractNum>
  <w:abstractNum w:abstractNumId="3">
    <w:nsid w:val="00000003"/>
    <w:multiLevelType w:val="hybridMultilevel"/>
    <w:tmpl w:val="FFFFFFFF"/>
    <w:lvl w:ilvl="0" w:tentative="1">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 w:numId="3">
    <w:abstractNumId w:val="3"/>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4"/>
        <w:szCs w:val="24"/>
      </w:rPr>
    </w:rPrDefault>
    <w:pPrDefault>
      <w:pPr/>
    </w:pPrDefault>
  </w:docDefaults>
  <w:style w:type="paragraph" w:styleId="style62">
    <w:name w:val="Title"/>
    <w:next w:val="style62"/>
    <w:qFormat/>
    <w:pPr/>
    <w:rPr>
      <w:sz w:val="56"/>
      <w:szCs w:val="56"/>
    </w:rPr>
  </w:style>
  <w:style w:type="paragraph" w:customStyle="1" w:styleId="style4106">
    <w:name w:val="Heading 1"/>
    <w:next w:val="style4106"/>
    <w:qFormat/>
    <w:pPr>
      <w:spacing w:before="280" w:after="140"/>
      <w:outlineLvl w:val="0"/>
    </w:pPr>
    <w:rPr>
      <w:rFonts w:ascii="Times New Roman" w:cs="Times New Roman" w:eastAsia="Times New Roman" w:hAnsi="Times New Roman"/>
      <w:b/>
      <w:bCs/>
      <w:sz w:val="26"/>
      <w:szCs w:val="26"/>
    </w:rPr>
  </w:style>
  <w:style w:type="paragraph" w:customStyle="1" w:styleId="style4107">
    <w:name w:val="Heading 2"/>
    <w:next w:val="style4107"/>
    <w:qFormat/>
    <w:pPr>
      <w:spacing w:before="200" w:after="120"/>
      <w:outlineLvl w:val="1"/>
    </w:pPr>
    <w:rPr>
      <w:rFonts w:ascii="Times New Roman" w:cs="Times New Roman" w:eastAsia="Times New Roman" w:hAnsi="Times New Roman"/>
      <w:b/>
      <w:bCs/>
      <w:sz w:val="24"/>
      <w:szCs w:val="24"/>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120dccd0-9f0e-46a7-b5aa-df38804c6f18"/>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4902</Words>
  <Characters>28839</Characters>
  <Application>WPS Office</Application>
  <Paragraphs>272</Paragraphs>
  <CharactersWithSpaces>33507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2026-10-15T09:59:29Z</dcterms:created>
  <dc:creator>WPS Office</dc:creator>
  <lastModifiedBy>24116RNC1I</lastModifiedBy>
  <dcterms:modified xsi:type="dcterms:W3CDTF">2026-10-15T09:59:29Z</dcterms:modified>
  <revision>1</revision>
  <dc:title>Pre-Emptive Crop Insurance Claim Rejection Prediction using NLP and Risk Modeling</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6e513a29680a441ea3bb961eef3971ed_23</vt:lpwstr>
  </property>
</Properties>
</file>