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FE4E" w14:textId="77777777" w:rsidR="002B100C" w:rsidRPr="002B100C" w:rsidRDefault="002B100C" w:rsidP="002B100C">
      <w:r w:rsidRPr="002B100C">
        <w:rPr>
          <w:b/>
          <w:bCs/>
        </w:rPr>
        <w:t>Nobody Asked the Child: Article 21 and India’s Missing Right to Withdraw</w:t>
      </w:r>
    </w:p>
    <w:p w14:paraId="552256E3" w14:textId="77777777" w:rsidR="002E011B" w:rsidRDefault="002E011B" w:rsidP="002B100C">
      <w:pPr>
        <w:rPr>
          <w:b/>
          <w:bCs/>
        </w:rPr>
      </w:pPr>
      <w:r>
        <w:rPr>
          <w:b/>
          <w:bCs/>
        </w:rPr>
        <w:t>Abstract</w:t>
      </w:r>
    </w:p>
    <w:p w14:paraId="1E6BDFC9" w14:textId="675DDD27" w:rsidR="001B7780" w:rsidRDefault="001B7780" w:rsidP="002B100C">
      <w:r w:rsidRPr="001B7780">
        <w:t xml:space="preserve">A child cannot meaningfully consent to what is posted about </w:t>
      </w:r>
      <w:r>
        <w:t>them</w:t>
      </w:r>
      <w:r w:rsidRPr="001B7780">
        <w:t xml:space="preserve">, collected from </w:t>
      </w:r>
      <w:r>
        <w:t>them</w:t>
      </w:r>
      <w:r w:rsidRPr="001B7780">
        <w:t xml:space="preserve"> or generated from </w:t>
      </w:r>
      <w:r>
        <w:t>their</w:t>
      </w:r>
      <w:r w:rsidRPr="001B7780">
        <w:t xml:space="preserve"> image</w:t>
      </w:r>
      <w:r>
        <w:t>. Laws commonly answer this by letting a parent consent for them</w:t>
      </w:r>
      <w:r w:rsidRPr="001B7780">
        <w:t>. This article asks what happens when the</w:t>
      </w:r>
      <w:r>
        <w:t xml:space="preserve"> interests of parents and the child diverge</w:t>
      </w:r>
      <w:r w:rsidRPr="001B7780">
        <w:t xml:space="preserve">. It argues that Article 21 </w:t>
      </w:r>
      <w:r>
        <w:t xml:space="preserve">recognises privacy as a right that does not depend on age, </w:t>
      </w:r>
      <w:r w:rsidRPr="001B7780">
        <w:t xml:space="preserve">but India’s Digital Personal Data Protection Act, 2023 protects it mainly through parental consent. India protects the child’s earnings </w:t>
      </w:r>
      <w:r w:rsidR="00F734BB">
        <w:t xml:space="preserve">through its child labour laws </w:t>
      </w:r>
      <w:r w:rsidRPr="001B7780">
        <w:t xml:space="preserve">but gives </w:t>
      </w:r>
      <w:r>
        <w:t>them</w:t>
      </w:r>
      <w:r w:rsidRPr="001B7780">
        <w:t xml:space="preserve"> no </w:t>
      </w:r>
      <w:r w:rsidR="00F734BB">
        <w:t>express right</w:t>
      </w:r>
      <w:r w:rsidRPr="001B7780">
        <w:t xml:space="preserve"> to withdraw </w:t>
      </w:r>
      <w:r>
        <w:t xml:space="preserve">their image from monetised family content. </w:t>
      </w:r>
      <w:r w:rsidRPr="001B7780">
        <w:t>The article proposes a right to erasure on adulthood, enforceable earnings rules for family channels and duties on platforms</w:t>
      </w:r>
      <w:r>
        <w:t xml:space="preserve"> so as to ensure that a child’s right to privacy remains</w:t>
      </w:r>
      <w:r w:rsidR="00F734BB">
        <w:t xml:space="preserve"> genuinely their own</w:t>
      </w:r>
      <w:r>
        <w:t>.</w:t>
      </w:r>
    </w:p>
    <w:p w14:paraId="29889F81" w14:textId="71C49A99" w:rsidR="002B100C" w:rsidRPr="002B100C" w:rsidRDefault="002B100C" w:rsidP="002B100C">
      <w:r w:rsidRPr="002B100C">
        <w:rPr>
          <w:b/>
          <w:bCs/>
        </w:rPr>
        <w:t>1. Introduction</w:t>
      </w:r>
    </w:p>
    <w:p w14:paraId="795BE0EA" w14:textId="77777777" w:rsidR="002B100C" w:rsidRPr="002B100C" w:rsidRDefault="002B100C" w:rsidP="002B100C">
      <w:r w:rsidRPr="002B100C">
        <w:t>A bill protecting children featured in online videos was passed by the Utah Senate 27-0 on the 7th of March 2025 and signed by the Governor on the 25th of March [1][2][3]. Among those in support was Kevin Franke, whose family had gained fame by filming its children and whose former wife, Ruby Franke, the woman at the front of the channel, was later convicted of child abuse [1][4]. Kevin Franke told lawmakers that children cannot give informed consent to being filmed for social media [1].</w:t>
      </w:r>
    </w:p>
    <w:p w14:paraId="54D07508" w14:textId="77777777" w:rsidR="002B100C" w:rsidRPr="002B100C" w:rsidRDefault="002B100C" w:rsidP="002B100C">
      <w:r w:rsidRPr="002B100C">
        <w:t>This case is extreme, but the principle is not. A child cannot meaningfully consent to what is posted about them online, what a platform collects from them or to what an AI tool might do to the content that involves them. A common answer that laws give to this problem is letting a parent or legal guardian give consent in the child’s place. This is also what India’s Digital Personal Data Protection Act, 2023 (DPDP Act) does [5]. This works when the threat is a company. It works poorly when the threat is someone who is legally allowed to give consent on the child’s behalf.</w:t>
      </w:r>
    </w:p>
    <w:p w14:paraId="5C268FD8" w14:textId="77777777" w:rsidR="002B100C" w:rsidRPr="002B100C" w:rsidRDefault="002B100C" w:rsidP="002B100C">
      <w:r w:rsidRPr="002B100C">
        <w:t>This article argues that Indian constitutional law supports a more demanding model. Privacy is a fundamental right under Article 21 [6] and it belongs to minors just as much as it does to adults. A system wherein a child is seen only as someone on whose behalf others consent is likely to fail when the interests of the consenting adult and the child diverge.</w:t>
      </w:r>
    </w:p>
    <w:p w14:paraId="4E692670" w14:textId="77777777" w:rsidR="002B100C" w:rsidRPr="002B100C" w:rsidRDefault="002B100C" w:rsidP="002B100C">
      <w:r w:rsidRPr="002B100C">
        <w:rPr>
          <w:b/>
          <w:bCs/>
        </w:rPr>
        <w:t>2. A Right that Does Not Wait for Adulthood</w:t>
      </w:r>
    </w:p>
    <w:p w14:paraId="32F46FC7" w14:textId="77777777" w:rsidR="002B100C" w:rsidRPr="002B100C" w:rsidRDefault="002B100C" w:rsidP="002B100C">
      <w:r w:rsidRPr="002B100C">
        <w:t>On 24 August 2017, a nine-judge bench of the Supreme Court recognised privacy as a fundamental right guaranteed within Article 21 in specific and Part III as a whole [6]. The provision does not tie the right to age.</w:t>
      </w:r>
    </w:p>
    <w:p w14:paraId="6670FE02" w14:textId="77777777" w:rsidR="002B100C" w:rsidRPr="002B100C" w:rsidRDefault="002B100C" w:rsidP="002B100C">
      <w:r w:rsidRPr="002B100C">
        <w:t xml:space="preserve">In General Comment No. 25 (2021), the UN Committee on the Rights of the Child reaches a similar position, stating that privacy is crucial to children’s agency, safety and </w:t>
      </w:r>
      <w:r w:rsidRPr="002B100C">
        <w:lastRenderedPageBreak/>
        <w:t>dignity [7]. The comment does not bind Indian law and is more of an international guidance, but it frames the question well. If privacy belongs to the child, the test is not whether a parent agreed. It is whether the child’s interests were protected and the two can diverge.</w:t>
      </w:r>
    </w:p>
    <w:p w14:paraId="17CD6EF7" w14:textId="77777777" w:rsidR="002B100C" w:rsidRPr="002B100C" w:rsidRDefault="002B100C" w:rsidP="002B100C">
      <w:r w:rsidRPr="002B100C">
        <w:rPr>
          <w:b/>
          <w:bCs/>
        </w:rPr>
        <w:t>3. What the statute does, and what it assumes</w:t>
      </w:r>
    </w:p>
    <w:p w14:paraId="3F26C436" w14:textId="2BC26A92" w:rsidR="002B100C" w:rsidRPr="002B100C" w:rsidRDefault="002B100C" w:rsidP="002B100C">
      <w:r w:rsidRPr="002B100C">
        <w:t xml:space="preserve">As per Section 9(1) of the DPDP Act, an organization is required to get the verifiable consent of a parent or lawful guardian before processing a child’s personal data [5]. Notably, a “child” is anyone under the age of 18 [8]. Section 9(3) separately bars tracking, behavioural monitoring and targeted advertising directed at children [5]. Crucially, this is, in the Act’s own wording, a prohibition and not a consent gate so it cannot be unlocked upon the parent’s consent. </w:t>
      </w:r>
      <w:r w:rsidR="008F4DC5" w:rsidRPr="008F4DC5">
        <w:t xml:space="preserve">The Rules notified in November 2025 exempt certain classes of organisations, </w:t>
      </w:r>
      <w:r w:rsidR="008F4DC5">
        <w:t xml:space="preserve">like </w:t>
      </w:r>
      <w:r w:rsidR="008F4DC5" w:rsidRPr="008F4DC5">
        <w:t>clinical establishments, healthcare professionals and educational institutions, and certain purposes, such as tracking a child’s real-time location in the interest of</w:t>
      </w:r>
      <w:r w:rsidR="00C17DE6">
        <w:t xml:space="preserve"> their</w:t>
      </w:r>
      <w:r w:rsidR="008F4DC5" w:rsidRPr="008F4DC5">
        <w:t xml:space="preserve"> safety, from Sections 9(1) and 9(3), subject to conditions [9]. The Rules’ provisions on verifiable parental consent and these exemptions are to come into force eighteen months after the Rules were published, that is, in May 2027 [9].</w:t>
      </w:r>
      <w:r w:rsidRPr="002B100C">
        <w:t xml:space="preserve"> This is a serious framework against platforms.</w:t>
      </w:r>
      <w:r w:rsidR="008F4DC5">
        <w:t xml:space="preserve"> </w:t>
      </w:r>
      <w:r w:rsidR="008F4DC5" w:rsidRPr="008F4DC5">
        <w:t>Once in force, a breach of Section 9 can attract a penalty of up to ₹200 crore, imposed by the Data Protection Board of India [5].</w:t>
      </w:r>
    </w:p>
    <w:p w14:paraId="4D421439" w14:textId="77777777" w:rsidR="002B100C" w:rsidRPr="002B100C" w:rsidRDefault="002B100C" w:rsidP="002B100C">
      <w:r w:rsidRPr="002B100C">
        <w:rPr>
          <w:b/>
          <w:bCs/>
        </w:rPr>
        <w:t>The Gaps</w:t>
      </w:r>
    </w:p>
    <w:p w14:paraId="7B0EA8EB" w14:textId="77777777" w:rsidR="002B100C" w:rsidRPr="002B100C" w:rsidRDefault="002B100C" w:rsidP="002B100C">
      <w:r w:rsidRPr="002B100C">
        <w:t>There are, however, two gaps in the drafting of the framework.</w:t>
      </w:r>
    </w:p>
    <w:p w14:paraId="7C7333E2" w14:textId="77777777" w:rsidR="002B100C" w:rsidRPr="002B100C" w:rsidRDefault="002B100C" w:rsidP="002B100C">
      <w:r w:rsidRPr="002B100C">
        <w:t>The first is that consent has a cost. PRS Legislative Research observed that obtaining verifiable consent may require platforms to verify the age of everyone who uses them [10]. If checking everyone’s identity is the only way to know whether the user is a child, then the law that protects children’s data may push platforms to collect more personal information from all users. A child-protection method could turn into a surveillance method.</w:t>
      </w:r>
    </w:p>
    <w:p w14:paraId="6A9A5052" w14:textId="60C263F4" w:rsidR="002B100C" w:rsidRPr="002B100C" w:rsidRDefault="002B100C" w:rsidP="002B100C">
      <w:r w:rsidRPr="002B100C">
        <w:t>The second is the scope of the Act. It excludes personal data processed by an individual for any personal or domestic purpose [5]. The logic is sound: the law is aimed at organisations, not at an ordinary person with a camera. A person sharing a photo album of their child to the family in a WhatsApp chat, for example, is within the exclusion and justifiably so. However, the exclusion also raises an important question that</w:t>
      </w:r>
      <w:r>
        <w:t xml:space="preserve"> </w:t>
      </w:r>
      <w:r w:rsidRPr="002B100C">
        <w:t xml:space="preserve">the Act </w:t>
      </w:r>
      <w:r>
        <w:t>does not explicitly answer</w:t>
      </w:r>
      <w:r w:rsidRPr="002B100C">
        <w:t>: What about a parent who runs a public channel on YouTube or Instagram built around the child’s daily life? The parent still is an individual posting about their family, but the audience is practically one consisting of strangers and the purpose is partly commercial. Whether that still counts as “personal or domestic” is</w:t>
      </w:r>
      <w:r>
        <w:t xml:space="preserve"> </w:t>
      </w:r>
      <w:r w:rsidRPr="002B100C">
        <w:t>untested.</w:t>
      </w:r>
    </w:p>
    <w:p w14:paraId="3D08574B" w14:textId="77777777" w:rsidR="002B100C" w:rsidRPr="002B100C" w:rsidRDefault="002B100C" w:rsidP="002B100C">
      <w:r w:rsidRPr="002B100C">
        <w:rPr>
          <w:b/>
          <w:bCs/>
        </w:rPr>
        <w:lastRenderedPageBreak/>
        <w:t>4. When the Parent Holds the Camera</w:t>
      </w:r>
    </w:p>
    <w:p w14:paraId="0409BB9B" w14:textId="77777777" w:rsidR="002B100C" w:rsidRPr="002B100C" w:rsidRDefault="002B100C" w:rsidP="002B100C">
      <w:r w:rsidRPr="002B100C">
        <w:t>Scholars call the practice of parents posting about their children online “sharenting.” The legal literature is honest about how hard it is to regulate.</w:t>
      </w:r>
    </w:p>
    <w:p w14:paraId="046ED73E" w14:textId="77777777" w:rsidR="002B100C" w:rsidRPr="002B100C" w:rsidRDefault="002B100C" w:rsidP="002B100C">
      <w:r w:rsidRPr="002B100C">
        <w:t>In the Indiana Law Journal, Keltie Haley describes a conflict between parents’ interest in raising children and expressing themselves online, and the children’s interest in privacy. She proposes a balanced approach built on a “right to be forgotten,” modelled on the European Union’s General Data Protection Regulation (GDPR)’s right to erasure. Parents could still share but a child could later ask for removal [11]. The strength of this idea is that it doesn’t ban anything. It gives the child a remedy at the point they are able to use it.</w:t>
      </w:r>
    </w:p>
    <w:p w14:paraId="2B442643" w14:textId="77777777" w:rsidR="002B100C" w:rsidRPr="002B100C" w:rsidRDefault="002B100C" w:rsidP="002B100C">
      <w:r w:rsidRPr="002B100C">
        <w:t xml:space="preserve">In the </w:t>
      </w:r>
      <w:r w:rsidRPr="002B100C">
        <w:rPr>
          <w:i/>
          <w:iCs/>
        </w:rPr>
        <w:t>Columbia Human Rights Law Review</w:t>
      </w:r>
      <w:r w:rsidRPr="002B100C">
        <w:t>, Shreya Agarwala observes that there is no clear line between benign and harmful sharenting and that parental-rights doctrine makes regulation difficult [12]. That difficulty explains why the Utah and French approaches target money and removal, not the posting itself.</w:t>
      </w:r>
    </w:p>
    <w:p w14:paraId="707CAFC7" w14:textId="77777777" w:rsidR="002B100C" w:rsidRPr="002B100C" w:rsidRDefault="002B100C" w:rsidP="002B100C">
      <w:r w:rsidRPr="002B100C">
        <w:rPr>
          <w:b/>
          <w:bCs/>
        </w:rPr>
        <w:t>What other countries have done</w:t>
      </w:r>
    </w:p>
    <w:p w14:paraId="7A706485" w14:textId="77777777" w:rsidR="002B100C" w:rsidRPr="002B100C" w:rsidRDefault="002B100C" w:rsidP="002B100C">
      <w:r w:rsidRPr="002B100C">
        <w:t>Utah’s 2025 law, House Bill 322, applies to content creators who earn at least $150,000 in a year from social media content featuring a child. They are required to keep records of the child’s appearances and put 15% of that income, calculated by a formula based on how much of the paid content features the child, into a trust the children can access at 18 [13][14]. The law also lets an adult who appeared in such content as a minor ask the content creator to delete it [13]. Utah was the fourth US state to legislate on child influencers, after California, Illinois and Minnesota [4].</w:t>
      </w:r>
    </w:p>
    <w:p w14:paraId="44CD2CA4" w14:textId="77777777" w:rsidR="002B100C" w:rsidRPr="002B100C" w:rsidRDefault="002B100C" w:rsidP="002B100C">
      <w:r w:rsidRPr="002B100C">
        <w:t>France passed a law in 2020 covering children under 16 whose online activity generates income. It requires part of the earnings to be placed in a protected account, available when the child reaches adulthood or is legally emancipated. Additionally, it gives children an explicit right to be forgotten [15].</w:t>
      </w:r>
    </w:p>
    <w:p w14:paraId="0E365FD4" w14:textId="77777777" w:rsidR="002B100C" w:rsidRPr="002B100C" w:rsidRDefault="002B100C" w:rsidP="002B100C">
      <w:r w:rsidRPr="002B100C">
        <w:t>Both laws share a design choice. They do not forbid parents from posting. They attach duties to commercial exposure and eventually give the child a way to retrieve control.</w:t>
      </w:r>
    </w:p>
    <w:p w14:paraId="57071018" w14:textId="77777777" w:rsidR="002B100C" w:rsidRPr="002B100C" w:rsidRDefault="002B100C" w:rsidP="002B100C">
      <w:r w:rsidRPr="002B100C">
        <w:rPr>
          <w:b/>
          <w:bCs/>
        </w:rPr>
        <w:t>What India Has</w:t>
      </w:r>
    </w:p>
    <w:p w14:paraId="45015EE1" w14:textId="77777777" w:rsidR="002B100C" w:rsidRPr="002B100C" w:rsidRDefault="002B100C" w:rsidP="002B100C">
      <w:r w:rsidRPr="002B100C">
        <w:t xml:space="preserve">India has no specific laws on sharenting. A 2023 article in the </w:t>
      </w:r>
      <w:r w:rsidRPr="002B100C">
        <w:rPr>
          <w:i/>
          <w:iCs/>
        </w:rPr>
        <w:t>NUJS Journal of Regulatory Studies</w:t>
      </w:r>
      <w:r w:rsidRPr="002B100C">
        <w:t xml:space="preserve"> states that no Indian law regulates the practice [16]. Patil adds that the Protection of Children from Sexual Offences Act (POCSO), India’s main child protection statute, is aimed at sexual exploitation and gives little help where a child’s daily life is turned into content [17].</w:t>
      </w:r>
    </w:p>
    <w:p w14:paraId="60A1C8BC" w14:textId="77777777" w:rsidR="002B100C" w:rsidRPr="002B100C" w:rsidRDefault="002B100C" w:rsidP="002B100C">
      <w:r w:rsidRPr="002B100C">
        <w:lastRenderedPageBreak/>
        <w:t>Patil proposes a useful reframing: when a family’s income depends on a child’s presence on camera, the practice resembles digital child labour [17]. India’s labour law has more to say on this than one might expect.</w:t>
      </w:r>
    </w:p>
    <w:p w14:paraId="399EBCD3" w14:textId="77777777" w:rsidR="002B100C" w:rsidRPr="002B100C" w:rsidRDefault="002B100C" w:rsidP="002B100C">
      <w:r w:rsidRPr="002B100C">
        <w:t>The Child and Adolescent Labour (Prohibition and Regulation) Act bars employing children in any occupation. It exempts two cases: a child who helps a family enterprise after school hours or during vacations, in work that is not hazardous, and a child who works as an artist in the audio-visual entertainment industry, subject to prescribed conditions, so long as the work does not affect their schooling [18].</w:t>
      </w:r>
    </w:p>
    <w:p w14:paraId="19BEAD0B" w14:textId="77777777" w:rsidR="002B100C" w:rsidRPr="002B100C" w:rsidRDefault="002B100C" w:rsidP="002B100C">
      <w:r w:rsidRPr="002B100C">
        <w:t>The 2017 Rules made under the Act set the conditions for child artists. A producer of an audio-visual production or commercial event involving a child must obtain permission from the district magistrate. A child may not work more than five hours a day. And at least 20% of the income the child earns must be deposited in a fixed deposit in their name, payable when they reach adulthood [19].</w:t>
      </w:r>
    </w:p>
    <w:p w14:paraId="43012FED" w14:textId="77777777" w:rsidR="002B100C" w:rsidRDefault="002B100C" w:rsidP="002B100C">
      <w:r w:rsidRPr="002B100C">
        <w:t>In 2023, the National Commission for Protection of Child Rights (NCPCR), the national child rights body, issued guidelines for children in the entertainment industry. Among other things, they state that social media content created by a child or their family for economic gain shall be treated as children working in a family enterprise under the Act [20].</w:t>
      </w:r>
    </w:p>
    <w:p w14:paraId="1F986207" w14:textId="77777777" w:rsidR="002B100C" w:rsidRPr="002B100C" w:rsidRDefault="002B100C" w:rsidP="002B100C">
      <w:r w:rsidRPr="002B100C">
        <w:t>The constitutional text behind this is narrower than it may sound. Article 24 bars employing children under 14 in factories, mines or other hazardous work and hence does not reach most content creation directly. Article 39(e) and (f) are directive principles that guide State policy. They direct it against the abuse of children’s tender age and towards children developing in conditions of freedom and dignity, protected against exploitation [21].</w:t>
      </w:r>
    </w:p>
    <w:p w14:paraId="33F57299" w14:textId="77777777" w:rsidR="002B100C" w:rsidRPr="002B100C" w:rsidRDefault="002B100C" w:rsidP="002B100C">
      <w:r w:rsidRPr="002B100C">
        <w:rPr>
          <w:b/>
          <w:bCs/>
        </w:rPr>
        <w:t>The Gap</w:t>
      </w:r>
    </w:p>
    <w:p w14:paraId="6A3A1911" w14:textId="77777777" w:rsidR="002B100C" w:rsidRPr="002B100C" w:rsidRDefault="002B100C" w:rsidP="002B100C">
      <w:r w:rsidRPr="002B100C">
        <w:t>The Indian framework is real and it is built around money, hours and schooling. It asks how long a child worked, whether their earnings are protected and whether they are attending school. It says nothing about the questions a privacy lens would ask: whether the child can withdraw consent or even give consent in the first place, and whether they can have the footage taken down.</w:t>
      </w:r>
    </w:p>
    <w:p w14:paraId="51E097F0" w14:textId="77777777" w:rsidR="002B100C" w:rsidRPr="002B100C" w:rsidRDefault="002B100C" w:rsidP="002B100C">
      <w:r w:rsidRPr="002B100C">
        <w:t>During my research, I found no source on how, or whether, these labour rules are enforced against family channels, nor could I confirm the legal force of the NCPCR’s guidelines, which are guidelines and not statute.</w:t>
      </w:r>
    </w:p>
    <w:p w14:paraId="3031A835" w14:textId="77777777" w:rsidR="002B100C" w:rsidRPr="002B100C" w:rsidRDefault="002B100C" w:rsidP="002B100C">
      <w:r w:rsidRPr="002B100C">
        <w:rPr>
          <w:b/>
          <w:bCs/>
        </w:rPr>
        <w:t>A worked example</w:t>
      </w:r>
    </w:p>
    <w:p w14:paraId="7C0EC0CF" w14:textId="77777777" w:rsidR="002B100C" w:rsidRPr="002B100C" w:rsidRDefault="002B100C" w:rsidP="002B100C">
      <w:r w:rsidRPr="002B100C">
        <w:t>Consider a hypothetical family. The parents run a public channel showing their seven-year-old child’s daily life, and the channel earns advertising revenue.</w:t>
      </w:r>
    </w:p>
    <w:p w14:paraId="5D07B0F2" w14:textId="77777777" w:rsidR="002B100C" w:rsidRPr="002B100C" w:rsidRDefault="002B100C" w:rsidP="002B100C">
      <w:r w:rsidRPr="002B100C">
        <w:lastRenderedPageBreak/>
        <w:t>Start with the DPDP Act. The parents’ posting may or may not fall inside the personal-or-domestic exclusion, and no one has decided which [5]. If it does, the Act gives the child nothing. If it does not, the parents may be treated like an organisation handling their child’s data, but the Act still treats the parent as the person who speaks for the child. The NCPCR guidelines, under labour laws, suggest that the channel is family-enterprise work. This implies conditions on hours and a duty to set aside 20% of the child’s earnings. It also bars content that distresses or embarrasses the child [20]. Whether anyone checks is not known. Additionally, none of the frameworks examined in this article allows the child, at 16 or 18, to ask for the video to be removed over her parents’ objection.</w:t>
      </w:r>
    </w:p>
    <w:p w14:paraId="0B1C158D" w14:textId="77777777" w:rsidR="002B100C" w:rsidRPr="002B100C" w:rsidRDefault="002B100C" w:rsidP="002B100C">
      <w:r w:rsidRPr="002B100C">
        <w:t>The point is not that the parents are inherently bad people. Most parents who post are not. It is that each framework covers one slice of the situation, and none gives the child a voice or, consequently, the meaning of privacy that Article 21 guarantees.</w:t>
      </w:r>
    </w:p>
    <w:p w14:paraId="4F736956" w14:textId="77777777" w:rsidR="002B100C" w:rsidRPr="002B100C" w:rsidRDefault="002B100C" w:rsidP="002B100C">
      <w:r w:rsidRPr="002B100C">
        <w:rPr>
          <w:b/>
          <w:bCs/>
        </w:rPr>
        <w:t>5. Platforms and machines</w:t>
      </w:r>
    </w:p>
    <w:p w14:paraId="199CDB0A" w14:textId="77777777" w:rsidR="002B100C" w:rsidRPr="002B100C" w:rsidRDefault="002B100C" w:rsidP="002B100C">
      <w:r w:rsidRPr="002B100C">
        <w:t>Two recent episodes show that a click on “I agree” protects little, whoever clicks.</w:t>
      </w:r>
    </w:p>
    <w:p w14:paraId="318BDD75" w14:textId="77777777" w:rsidR="002B100C" w:rsidRPr="002B100C" w:rsidRDefault="002B100C" w:rsidP="002B100C">
      <w:r w:rsidRPr="002B100C">
        <w:rPr>
          <w:b/>
          <w:bCs/>
        </w:rPr>
        <w:t>Meta</w:t>
      </w:r>
    </w:p>
    <w:p w14:paraId="5DBBAEA3" w14:textId="77777777" w:rsidR="002B100C" w:rsidRPr="002B100C" w:rsidRDefault="002B100C" w:rsidP="002B100C">
      <w:r w:rsidRPr="002B100C">
        <w:t>In August 2026, Meta agreed to a settlement with US states worth up to $17 billion over ten years, together with significant changes to how its platforms work for minors. Meta has denied the allegations. It had been accused by the states of designing its apps to be addictive to children and of violating the Children’s Online Privacy Protection Act (COPPA), a US federal law restricting the collection of data from children under 13, by collecting data about under-13 users [22].</w:t>
      </w:r>
    </w:p>
    <w:p w14:paraId="04279AF4" w14:textId="77777777" w:rsidR="002B100C" w:rsidRPr="002B100C" w:rsidRDefault="002B100C" w:rsidP="002B100C">
      <w:r w:rsidRPr="002B100C">
        <w:t>In March 2026, a New Mexico jury found that Meta had exposed children to predators and misled consumers about risks, and ordered $375 million in penalties [23].</w:t>
      </w:r>
    </w:p>
    <w:p w14:paraId="7E704027" w14:textId="77777777" w:rsidR="002B100C" w:rsidRPr="002B100C" w:rsidRDefault="002B100C" w:rsidP="002B100C">
      <w:r w:rsidRPr="002B100C">
        <w:t>These cases, although American, give us an idea of where change came from. It came from litigation about how products were designed, not from the terms-of-service boxes that millions of children and parents had ticked. The lesson for India is that consent forms are a thin layer of protection when the underlying product is built to maximise engagement.</w:t>
      </w:r>
    </w:p>
    <w:p w14:paraId="335A1D3E" w14:textId="77777777" w:rsidR="002B100C" w:rsidRPr="002B100C" w:rsidRDefault="002B100C" w:rsidP="002B100C">
      <w:r w:rsidRPr="002B100C">
        <w:rPr>
          <w:b/>
          <w:bCs/>
        </w:rPr>
        <w:t>Grok and synthetic images</w:t>
      </w:r>
    </w:p>
    <w:p w14:paraId="23209DC8" w14:textId="77777777" w:rsidR="002B100C" w:rsidRPr="002B100C" w:rsidRDefault="002B100C" w:rsidP="002B100C">
      <w:r w:rsidRPr="002B100C">
        <w:t xml:space="preserve">On 2 January 2026, India’s Ministry of Electronics and Information Technology (MeitY) wrote to X over the misuse of its artificial intelligence tool, Grok, to create and share obscene images. It said compliance with the IT Act and the IT Rules was not optional [24]. The ministry demanded an action taken report within 72 hours and warned that X could lose the protection of Section 79 of the IT Act [25]. Section 79 is the “safe harbour” provision which shields online platforms from liability for what their users post, provided the platform follows due-diligence rules. Losing it would expose X to </w:t>
      </w:r>
      <w:r w:rsidRPr="002B100C">
        <w:lastRenderedPageBreak/>
        <w:t>legal responsibility for the content on its service. Reports said users had been prompting Grok to alter photographs of women and minors into sexually compromising images [25].</w:t>
      </w:r>
    </w:p>
    <w:p w14:paraId="3551B55C" w14:textId="77777777" w:rsidR="002B100C" w:rsidRPr="002B100C" w:rsidRDefault="002B100C" w:rsidP="002B100C">
      <w:r w:rsidRPr="002B100C">
        <w:t>The law has since tightened. Amendments to the IT Rules notified on 10 February 2026 bring synthetically generated content, including deepfakes, within the Rules. They cut the takedown window for court or government orders from 36 hours to three and set a two-hour window for complaints about non-consensual intimate or sexual imagery, including morphed content [26]. The sequence is suggestive, but it is not established that the notice caused the amendment.</w:t>
      </w:r>
    </w:p>
    <w:p w14:paraId="1AA74AA3" w14:textId="77777777" w:rsidR="002B100C" w:rsidRPr="002B100C" w:rsidRDefault="002B100C" w:rsidP="002B100C">
      <w:r w:rsidRPr="002B100C">
        <w:rPr>
          <w:b/>
          <w:bCs/>
        </w:rPr>
        <w:t>Why this connects to sharenting</w:t>
      </w:r>
    </w:p>
    <w:p w14:paraId="1EE71C3E" w14:textId="77777777" w:rsidR="002B100C" w:rsidRPr="002B100C" w:rsidRDefault="002B100C" w:rsidP="002B100C">
      <w:r w:rsidRPr="002B100C">
        <w:t>My argument, not a documented finding, is that these threads are linked. Generative tools work on images and every photograph of a child that is posted publicly, by a parent, a school or anyone else, is potential raw material. Faster takedowns help after harm has occurred but they cannot restore control over an image that was never the child’s to release. Sharenting’s old harm was the loss of control over a child’s story. AI raises the stakes, because the loss of control now includes what strangers can manufacture from her face.</w:t>
      </w:r>
    </w:p>
    <w:p w14:paraId="233345E0" w14:textId="77777777" w:rsidR="002B100C" w:rsidRPr="002B100C" w:rsidRDefault="002B100C" w:rsidP="002B100C">
      <w:r w:rsidRPr="002B100C">
        <w:rPr>
          <w:b/>
          <w:bCs/>
        </w:rPr>
        <w:t>6. The Supreme Court enters</w:t>
      </w:r>
    </w:p>
    <w:p w14:paraId="010C6391" w14:textId="77777777" w:rsidR="002B100C" w:rsidRPr="002B100C" w:rsidRDefault="002B100C" w:rsidP="002B100C">
      <w:r w:rsidRPr="002B100C">
        <w:t>On 10 September 2026, the Supreme Court issued notice on a public interest litigation (PIL) filed by Just Rights for Children Alliance. The petition argues that children under 18 can open social media accounts even though they are legally incapable of entering contracts under Section 11 of the Indian Contract Act, which makes agreeing to a platform’s terms legally doubtful [27].</w:t>
      </w:r>
    </w:p>
    <w:p w14:paraId="53546633" w14:textId="77777777" w:rsidR="002B100C" w:rsidRPr="002B100C" w:rsidRDefault="002B100C" w:rsidP="002B100C">
      <w:r w:rsidRPr="002B100C">
        <w:t>On 28 September, a bench headed by the Chief Justice asked the Centre to examine whether rules could stop under-18s from independently creating accounts. It warned that it may issue directions under the IT Act if the government does not act [28][29]. The case is pending.</w:t>
      </w:r>
    </w:p>
    <w:p w14:paraId="67E19907" w14:textId="77777777" w:rsidR="002B100C" w:rsidRPr="002B100C" w:rsidRDefault="002B100C" w:rsidP="002B100C">
      <w:r w:rsidRPr="002B100C">
        <w:t>There are three observations I’d like to highlight:</w:t>
      </w:r>
    </w:p>
    <w:p w14:paraId="54B8996D" w14:textId="77777777" w:rsidR="002B100C" w:rsidRPr="002B100C" w:rsidRDefault="002B100C" w:rsidP="002B100C">
      <w:r w:rsidRPr="002B100C">
        <w:t>First, this litigation asks a different question from the DPDP Act. The Act asks how a child’s data is processed. The Court is asking whether a child should hold an account at all. Neither asks what happens when the parent is the one posting.</w:t>
      </w:r>
    </w:p>
    <w:p w14:paraId="48E2DC6A" w14:textId="77777777" w:rsidR="002B100C" w:rsidRPr="002B100C" w:rsidRDefault="002B100C" w:rsidP="002B100C">
      <w:r w:rsidRPr="002B100C">
        <w:t>Second, framing the problem as contractual capacity addresses whether a child can agree to terms, not whether they have a right to privacy. A child could be legally unable to contract and still have their image exposed by others.</w:t>
      </w:r>
    </w:p>
    <w:p w14:paraId="422EA4FA" w14:textId="77777777" w:rsidR="002B100C" w:rsidRPr="002B100C" w:rsidRDefault="002B100C" w:rsidP="002B100C">
      <w:r w:rsidRPr="002B100C">
        <w:lastRenderedPageBreak/>
        <w:t>Third, an age bar protects at a price. It treats children solely as objects of protection, which is the concern Patil raises about the Act’s flat threshold [17]. It would also depend on the age-verification systems that PRS warned about [10].</w:t>
      </w:r>
    </w:p>
    <w:p w14:paraId="127BD5D4" w14:textId="77777777" w:rsidR="002B100C" w:rsidRPr="002B100C" w:rsidRDefault="002B100C" w:rsidP="002B100C">
      <w:r w:rsidRPr="002B100C">
        <w:rPr>
          <w:b/>
          <w:bCs/>
        </w:rPr>
        <w:t>7. Objections</w:t>
      </w:r>
    </w:p>
    <w:p w14:paraId="33C6D2AD" w14:textId="77777777" w:rsidR="002B100C" w:rsidRPr="002B100C" w:rsidRDefault="002B100C" w:rsidP="002B100C">
      <w:r w:rsidRPr="002B100C">
        <w:t>Any strong argument should face its best objections. Following are objections one might raise against the proposals that are to follow, and/or to already established laws.</w:t>
      </w:r>
    </w:p>
    <w:p w14:paraId="6D8CF436" w14:textId="77777777" w:rsidR="002B100C" w:rsidRPr="002B100C" w:rsidRDefault="002B100C" w:rsidP="002B100C">
      <w:r w:rsidRPr="002B100C">
        <w:rPr>
          <w:b/>
          <w:bCs/>
        </w:rPr>
        <w:t>“Parents also have rights”</w:t>
      </w:r>
    </w:p>
    <w:p w14:paraId="5381B2C1" w14:textId="77777777" w:rsidR="002B100C" w:rsidRPr="002B100C" w:rsidRDefault="002B100C" w:rsidP="002B100C">
      <w:r w:rsidRPr="002B100C">
        <w:t>Many parents have a legitimate interest in raising their children and in sharing family life. This parental-rights doctrine is taken seriously by both Haley and Agarwala [11][12]. The defence is that the proposals below do not ban sharing. Instead, they attach duties to commercial exposure and give the child a way to be in control later, leaving ordinary family posting alone.</w:t>
      </w:r>
    </w:p>
    <w:p w14:paraId="31B368C3" w14:textId="77777777" w:rsidR="002B100C" w:rsidRPr="002B100C" w:rsidRDefault="002B100C" w:rsidP="002B100C">
      <w:r w:rsidRPr="002B100C">
        <w:rPr>
          <w:b/>
          <w:bCs/>
        </w:rPr>
        <w:t>“Families should not be policed by the state to such an extent.”</w:t>
      </w:r>
    </w:p>
    <w:p w14:paraId="4AC6C1BA" w14:textId="77777777" w:rsidR="002B100C" w:rsidRPr="002B100C" w:rsidRDefault="002B100C" w:rsidP="002B100C">
      <w:r w:rsidRPr="002B100C">
        <w:t>This is a serious concern; it is why the proposals below avoid criminal penalties for ordinary posting. They do not target the day-to-day choices of families. They focus primarily on target money and removal rights.</w:t>
      </w:r>
    </w:p>
    <w:p w14:paraId="4602E1F3" w14:textId="77777777" w:rsidR="002B100C" w:rsidRPr="002B100C" w:rsidRDefault="002B100C" w:rsidP="002B100C">
      <w:r w:rsidRPr="002B100C">
        <w:rPr>
          <w:b/>
          <w:bCs/>
        </w:rPr>
        <w:t>“Enforcing these rules effectively would be difficult.”</w:t>
      </w:r>
    </w:p>
    <w:p w14:paraId="77A2F7E6" w14:textId="77777777" w:rsidR="002B100C" w:rsidRPr="002B100C" w:rsidRDefault="002B100C" w:rsidP="002B100C">
      <w:r w:rsidRPr="002B100C">
        <w:t>This is often true for private family channels. To the best of my knowledge, there is no evidence on enforcement of the current labour rules against family channels. This is why rights should be designed as such that the child can invoke themselves, like an erasure right, rather than relying on inspectors.</w:t>
      </w:r>
    </w:p>
    <w:p w14:paraId="420D1D7A" w14:textId="77777777" w:rsidR="002B100C" w:rsidRPr="002B100C" w:rsidRDefault="002B100C" w:rsidP="002B100C">
      <w:r w:rsidRPr="002B100C">
        <w:rPr>
          <w:b/>
          <w:bCs/>
        </w:rPr>
        <w:t>“Age bars are enough to protect children.”</w:t>
      </w:r>
    </w:p>
    <w:p w14:paraId="0C30B2F5" w14:textId="77777777" w:rsidR="002B100C" w:rsidRPr="002B100C" w:rsidRDefault="002B100C" w:rsidP="002B100C">
      <w:r w:rsidRPr="002B100C">
        <w:t>Age bars may protect children from some harms, but they do not address a parent’s posting and they depend on verification systems with their own privacy costs [10].</w:t>
      </w:r>
    </w:p>
    <w:p w14:paraId="434E081E" w14:textId="77777777" w:rsidR="002B100C" w:rsidRPr="002B100C" w:rsidRDefault="002B100C" w:rsidP="002B100C">
      <w:r w:rsidRPr="002B100C">
        <w:rPr>
          <w:b/>
          <w:bCs/>
        </w:rPr>
        <w:t>8. Toward a child-centred model</w:t>
      </w:r>
    </w:p>
    <w:p w14:paraId="239A39B2" w14:textId="77777777" w:rsidR="002B100C" w:rsidRPr="002B100C" w:rsidRDefault="002B100C" w:rsidP="002B100C">
      <w:r w:rsidRPr="002B100C">
        <w:t>I’d like to put forth a few measures that I believe could be effective.</w:t>
      </w:r>
    </w:p>
    <w:p w14:paraId="6EA4307C" w14:textId="77777777" w:rsidR="002B100C" w:rsidRPr="002B100C" w:rsidRDefault="002B100C" w:rsidP="002B100C">
      <w:r w:rsidRPr="002B100C">
        <w:rPr>
          <w:b/>
          <w:bCs/>
        </w:rPr>
        <w:t>The earnings rule should be made explicit and enforceable.</w:t>
      </w:r>
      <w:r w:rsidRPr="002B100C">
        <w:t xml:space="preserve"> In India, setting aside 20% of a child artist’s income is already a requirement [19] and monetised family content is treated as family-enterprise work as per the NCPCR guidelines [20]. The law could say explicitly that this covers family channels and name who checks. Utah and France show how earnings can be tied to protection [1][15].</w:t>
      </w:r>
    </w:p>
    <w:p w14:paraId="2BE5088C" w14:textId="77777777" w:rsidR="002B100C" w:rsidRPr="002B100C" w:rsidRDefault="002B100C" w:rsidP="002B100C">
      <w:r w:rsidRPr="002B100C">
        <w:rPr>
          <w:b/>
          <w:bCs/>
        </w:rPr>
        <w:t>Give the child a right to erasure on adulthood.</w:t>
      </w:r>
      <w:r w:rsidRPr="002B100C">
        <w:t xml:space="preserve"> Haley’s framework, Utah’s law and the French law all allow a person to remove childhood content once they can speak for themselves [11][13][15]. This is the single measure that gives the child a voice.</w:t>
      </w:r>
    </w:p>
    <w:p w14:paraId="0C85B44F" w14:textId="77777777" w:rsidR="002B100C" w:rsidRPr="002B100C" w:rsidRDefault="002B100C" w:rsidP="002B100C">
      <w:r w:rsidRPr="002B100C">
        <w:rPr>
          <w:b/>
          <w:bCs/>
        </w:rPr>
        <w:lastRenderedPageBreak/>
        <w:t>Replace the single threshold of 18 with graduated consent:</w:t>
      </w:r>
      <w:r w:rsidRPr="002B100C">
        <w:t xml:space="preserve"> Evolving capacities are recognised by the Convention [30] and the GDPR lets states set the age between 13 and 16 [31]. In India, parental consent could be kept for younger children while giving adolescents some say over their own data.</w:t>
      </w:r>
    </w:p>
    <w:p w14:paraId="0062FF30" w14:textId="77777777" w:rsidR="002B100C" w:rsidRPr="002B100C" w:rsidRDefault="002B100C" w:rsidP="002B100C">
      <w:r w:rsidRPr="002B100C">
        <w:rPr>
          <w:b/>
          <w:bCs/>
        </w:rPr>
        <w:t>A best-interests test to be applied to commercial exposure.</w:t>
      </w:r>
      <w:r w:rsidRPr="002B100C">
        <w:t xml:space="preserve"> Any arrangement in which a child’s image is monetised, the question should be whether it serves the child, in line with Article 3 of the Convention [30].</w:t>
      </w:r>
    </w:p>
    <w:p w14:paraId="70E488A9" w14:textId="77777777" w:rsidR="002B100C" w:rsidRPr="002B100C" w:rsidRDefault="002B100C" w:rsidP="002B100C">
      <w:r w:rsidRPr="002B100C">
        <w:rPr>
          <w:b/>
          <w:bCs/>
        </w:rPr>
        <w:t>Put duties on those who build and deploy.</w:t>
      </w:r>
      <w:r w:rsidRPr="002B100C">
        <w:t xml:space="preserve"> The Meta and Grok episodes suggest responsibility should not merely be attached to consent forms but also to design choices [22][24]. Where age assurance is used, it should collect as little data as possible [10].</w:t>
      </w:r>
    </w:p>
    <w:p w14:paraId="0A5BAC64" w14:textId="77777777" w:rsidR="002B100C" w:rsidRPr="002B100C" w:rsidRDefault="002B100C" w:rsidP="002B100C">
      <w:r w:rsidRPr="002B100C">
        <w:rPr>
          <w:b/>
          <w:bCs/>
        </w:rPr>
        <w:t>9. Conclusion</w:t>
      </w:r>
    </w:p>
    <w:p w14:paraId="79F136E4" w14:textId="77777777" w:rsidR="002B100C" w:rsidRPr="002B100C" w:rsidRDefault="002B100C" w:rsidP="002B100C">
      <w:r w:rsidRPr="002B100C">
        <w:t xml:space="preserve">Privacy was placed within Article 21 and the freedoms of Part III by </w:t>
      </w:r>
      <w:r w:rsidRPr="002B100C">
        <w:rPr>
          <w:i/>
          <w:iCs/>
        </w:rPr>
        <w:t>Puttaswamy</w:t>
      </w:r>
      <w:r w:rsidRPr="002B100C">
        <w:t xml:space="preserve"> [6] and the right is not tied to age in that holding. India’s current law does build real protection against companies and the ban on tracking and targeted advertising directed at children is a strong example. However, it depends majorly on parental consent as its tool. The law does not account for the fact that parental consent does not protect a child from their parent, nor from what strangers do with an image once it is public. Until Indian law gives a child a way to take their image back, their privacy depends on the goodwill of the person who posted it.</w:t>
      </w:r>
    </w:p>
    <w:p w14:paraId="35D3BC5E" w14:textId="77777777" w:rsidR="002B100C" w:rsidRPr="002B100C" w:rsidRDefault="002B100C" w:rsidP="002B100C">
      <w:r w:rsidRPr="002B100C">
        <w:rPr>
          <w:b/>
          <w:bCs/>
        </w:rPr>
        <w:t>10. References</w:t>
      </w:r>
    </w:p>
    <w:p w14:paraId="16EE3F96" w14:textId="31D838F1" w:rsidR="002B100C" w:rsidRPr="002B100C" w:rsidRDefault="002B100C" w:rsidP="002B100C">
      <w:r w:rsidRPr="002B100C">
        <w:t xml:space="preserve">[1] “Utah child influencers would see money earned from online content placed in trust funds under this bill,” </w:t>
      </w:r>
      <w:r w:rsidRPr="002B100C">
        <w:rPr>
          <w:i/>
          <w:iCs/>
        </w:rPr>
        <w:t>The Salt Lake Tribune</w:t>
      </w:r>
      <w:r w:rsidRPr="002B100C">
        <w:t xml:space="preserve">, 11 March 2025. </w:t>
      </w:r>
      <w:hyperlink r:id="rId4" w:history="1">
        <w:r w:rsidRPr="002B100C">
          <w:rPr>
            <w:rStyle w:val="Hyperlink"/>
          </w:rPr>
          <w:t>https://www.sltrib.com/news/2025/03/11/utah-bill-aimed-protecting-child/</w:t>
        </w:r>
      </w:hyperlink>
      <w:r w:rsidRPr="002B100C">
        <w:br/>
        <w:t xml:space="preserve">[2] “Utah joins California, Illinois in establishing safeguards for child influencers,” ABC News, 31 March 2025. </w:t>
      </w:r>
      <w:hyperlink r:id="rId5" w:history="1">
        <w:r w:rsidRPr="002B100C">
          <w:rPr>
            <w:rStyle w:val="Hyperlink"/>
          </w:rPr>
          <w:t>https://abcnews.com/GMA/Family/parenting-influencers-speak-new-law-designed-protect-kids/story?id=111580202</w:t>
        </w:r>
      </w:hyperlink>
      <w:r w:rsidRPr="002B100C">
        <w:br/>
        <w:t xml:space="preserve">[3] Utah H.B. 322 (2025), “Child Actor Regulations,” bill tracking (Senate passage 7 March 2025; signed 25 March 2025), FastDemocracy. </w:t>
      </w:r>
      <w:hyperlink r:id="rId6" w:history="1">
        <w:r w:rsidRPr="002B100C">
          <w:rPr>
            <w:rStyle w:val="Hyperlink"/>
          </w:rPr>
          <w:t>https://fastdemocracy.com/bill-search/ut/2025/bills/UTB00013424/</w:t>
        </w:r>
      </w:hyperlink>
      <w:r w:rsidRPr="002B100C">
        <w:br/>
        <w:t xml:space="preserve">[4] “Utah passes new legal protections for child influencers, more than a year after ‘mommy vlogger’ Ruby Franke’s child abuse conviction,” Yahoo News, 2025. </w:t>
      </w:r>
      <w:hyperlink r:id="rId7" w:history="1">
        <w:r w:rsidRPr="002B100C">
          <w:rPr>
            <w:rStyle w:val="Hyperlink"/>
          </w:rPr>
          <w:t>https://www.yahoo.com/news/utah-passes-new-legal-protections-for-child-influencers-more-than-a-year-after-mommy-vlogger-ruby-frankes-child-abuse-conviction-202220954.html</w:t>
        </w:r>
      </w:hyperlink>
      <w:r w:rsidRPr="002B100C">
        <w:br/>
        <w:t xml:space="preserve">[5] The Digital Personal Data Protection Act, 2023 (No. 22 of 2023), Ministry of Electronics and IT. </w:t>
      </w:r>
      <w:hyperlink r:id="rId8" w:history="1">
        <w:r w:rsidRPr="002B100C">
          <w:rPr>
            <w:rStyle w:val="Hyperlink"/>
          </w:rPr>
          <w:t>https://www.meity.gov.in/static/uploads/2024/06/2bf1f0e9f04e6fb4f8fef35e82c42aa5.</w:t>
        </w:r>
        <w:r w:rsidRPr="002B100C">
          <w:rPr>
            <w:rStyle w:val="Hyperlink"/>
          </w:rPr>
          <w:lastRenderedPageBreak/>
          <w:t>pdf</w:t>
        </w:r>
      </w:hyperlink>
      <w:r w:rsidRPr="002B100C">
        <w:br/>
        <w:t xml:space="preserve">[6] “Fundamental Right to Privacy: </w:t>
      </w:r>
      <w:r w:rsidRPr="002B100C">
        <w:rPr>
          <w:i/>
          <w:iCs/>
        </w:rPr>
        <w:t>Justice K.S. Puttaswamy v. Union of India</w:t>
      </w:r>
      <w:r w:rsidRPr="002B100C">
        <w:t xml:space="preserve">,” Supreme Court Observer. </w:t>
      </w:r>
      <w:hyperlink r:id="rId9" w:history="1">
        <w:r w:rsidRPr="002B100C">
          <w:rPr>
            <w:rStyle w:val="Hyperlink"/>
          </w:rPr>
          <w:t>https://www.scobserver.in/cases/puttaswamy-v-union-of-india-fundamental-right-to-privacy-case-background/</w:t>
        </w:r>
      </w:hyperlink>
      <w:r w:rsidRPr="002B100C">
        <w:br/>
        <w:t xml:space="preserve">[7] UN Committee on the Rights of the Child, General Comment No. 25 (2021) on children’s rights in relation to the digital environment, CRC/C/GC/25. </w:t>
      </w:r>
      <w:hyperlink r:id="rId10" w:history="1">
        <w:r w:rsidRPr="002B100C">
          <w:rPr>
            <w:rStyle w:val="Hyperlink"/>
          </w:rPr>
          <w:t>https://digitallibrary.un.org/record/3906061?ln=en</w:t>
        </w:r>
      </w:hyperlink>
      <w:r w:rsidRPr="002B100C">
        <w:br/>
        <w:t xml:space="preserve">[8] “Decrypting India’s New Data Protection Law,” Bird &amp; Bird, 2023. </w:t>
      </w:r>
      <w:hyperlink r:id="rId11" w:history="1">
        <w:r w:rsidRPr="002B100C">
          <w:rPr>
            <w:rStyle w:val="Hyperlink"/>
          </w:rPr>
          <w:t>https://www.twobirds.com/en/insights/2023/global/decrypting-indias-new-data-protection-law-key-insights-and-lessons-learned</w:t>
        </w:r>
      </w:hyperlink>
      <w:r w:rsidRPr="002B100C">
        <w:br/>
      </w:r>
      <w:r w:rsidR="00C17DE6" w:rsidRPr="00C17DE6">
        <w:t>[9] Ministry of Electronics and Information Technology, Digital Personal Data Protection Rules, 2025, G.S.R. 846(E), The Gazette of India, Extraordinary, Part II, Section 3(i), 13 November 2025.</w:t>
      </w:r>
      <w:r w:rsidRPr="002B100C">
        <w:br/>
        <w:t xml:space="preserve">[10] PRS Legislative Research, “The Digital Personal Data Protection Bill, 2023.” </w:t>
      </w:r>
      <w:hyperlink r:id="rId12" w:history="1">
        <w:r w:rsidRPr="002B100C">
          <w:rPr>
            <w:rStyle w:val="Hyperlink"/>
          </w:rPr>
          <w:t>https://prsindia.org/billtrack/digital-personal-data-protection-bill-2023</w:t>
        </w:r>
      </w:hyperlink>
      <w:r w:rsidRPr="002B100C">
        <w:br/>
        <w:t xml:space="preserve">[11] Keltie Haley, “Sharenting and the (Potential) Right to Be Forgotten,” 95 </w:t>
      </w:r>
      <w:r w:rsidRPr="002B100C">
        <w:rPr>
          <w:i/>
          <w:iCs/>
        </w:rPr>
        <w:t>Indiana Law Journal</w:t>
      </w:r>
      <w:r w:rsidRPr="002B100C">
        <w:t xml:space="preserve"> 1005 (2020). </w:t>
      </w:r>
      <w:hyperlink r:id="rId13" w:history="1">
        <w:r w:rsidRPr="002B100C">
          <w:rPr>
            <w:rStyle w:val="Hyperlink"/>
          </w:rPr>
          <w:t>https://www.repository.law.indiana.edu/ilj/vol95/iss3/9</w:t>
        </w:r>
      </w:hyperlink>
      <w:r w:rsidRPr="002B100C">
        <w:br/>
        <w:t xml:space="preserve">[12] Shreya Agarwala, “Children’s Privacy and the Ghost of Social Media Past,” </w:t>
      </w:r>
      <w:r w:rsidRPr="002B100C">
        <w:rPr>
          <w:i/>
          <w:iCs/>
        </w:rPr>
        <w:t>Columbia Human Rights Law Review</w:t>
      </w:r>
      <w:r w:rsidRPr="002B100C">
        <w:t xml:space="preserve"> (2025). </w:t>
      </w:r>
      <w:hyperlink r:id="rId14" w:history="1">
        <w:r w:rsidRPr="002B100C">
          <w:rPr>
            <w:rStyle w:val="Hyperlink"/>
          </w:rPr>
          <w:t>https://hrlr.law.columbia.edu/files/2025/03/Agarwala_Childrens-Privacy-and-the-Ghost-of-Social-Media-Past_Final-Upload.pdf</w:t>
        </w:r>
      </w:hyperlink>
      <w:r w:rsidRPr="002B100C">
        <w:br/>
        <w:t xml:space="preserve">[13] Utah H.B. 322, “Child Actor Regulations,” Enrolled Copy, 2025 General Session. </w:t>
      </w:r>
      <w:hyperlink r:id="rId15" w:history="1">
        <w:r w:rsidRPr="002B100C">
          <w:rPr>
            <w:rStyle w:val="Hyperlink"/>
          </w:rPr>
          <w:t>https://le.utah.gov/Session/2025/bills/enrolled/HB0322.pdf</w:t>
        </w:r>
      </w:hyperlink>
      <w:r w:rsidRPr="002B100C">
        <w:br/>
        <w:t xml:space="preserve">[14] “Utah Passed a Law to Protect Child Influencers,” Teen Vogue via Yahoo News Canada, March 2025. </w:t>
      </w:r>
      <w:hyperlink r:id="rId16" w:history="1">
        <w:r w:rsidRPr="002B100C">
          <w:rPr>
            <w:rStyle w:val="Hyperlink"/>
          </w:rPr>
          <w:t>https://ca.news.yahoo.com/utah-passed-law-protect-child-220011746.html</w:t>
        </w:r>
      </w:hyperlink>
      <w:r w:rsidRPr="002B100C">
        <w:br/>
        <w:t xml:space="preserve">[15] “France: Parliament Adopts Law to Protect Child ‘Influencers’ on Social Media,” Library of Congress, Global Legal Monitor, 30 October 2020. </w:t>
      </w:r>
      <w:hyperlink r:id="rId17" w:history="1">
        <w:r w:rsidRPr="002B100C">
          <w:rPr>
            <w:rStyle w:val="Hyperlink"/>
          </w:rPr>
          <w:t>https://www.loc.gov/item/global-legal-monitor/2020-10-30/france-parliament-adopts-law-to-protect-child-influencers-on-social-media/</w:t>
        </w:r>
      </w:hyperlink>
      <w:r w:rsidRPr="002B100C">
        <w:br/>
        <w:t xml:space="preserve">[16] “Sharenting and Children’s Privacy,” </w:t>
      </w:r>
      <w:r w:rsidRPr="002B100C">
        <w:rPr>
          <w:i/>
          <w:iCs/>
        </w:rPr>
        <w:t>NUJS Journal of Regulatory Studies</w:t>
      </w:r>
      <w:r w:rsidRPr="002B100C">
        <w:t xml:space="preserve">, vol. 8, issues 3–4 (2023). </w:t>
      </w:r>
      <w:hyperlink r:id="rId18" w:history="1">
        <w:r w:rsidRPr="002B100C">
          <w:rPr>
            <w:rStyle w:val="Hyperlink"/>
          </w:rPr>
          <w:t>https://www.nujs.edu/wp-content/uploads/2023/12/vol-8iss-3-4.pdf</w:t>
        </w:r>
      </w:hyperlink>
      <w:r w:rsidRPr="002B100C">
        <w:br/>
        <w:t xml:space="preserve">[17] Shekhar Patil, “Family Vlogs to Deepfakes: Why India Needs a Digital Child Rights Law,” Centre for Family Law, NLU Jodhpur (blog), 2026. </w:t>
      </w:r>
      <w:hyperlink r:id="rId19" w:history="1">
        <w:r w:rsidRPr="002B100C">
          <w:rPr>
            <w:rStyle w:val="Hyperlink"/>
          </w:rPr>
          <w:t>https://www.centreforfamilylaw.com/post/family-vlogs-to-deepfakes-why-india-needs-a-digital-child-rights-law</w:t>
        </w:r>
      </w:hyperlink>
      <w:r w:rsidRPr="002B100C">
        <w:br/>
        <w:t xml:space="preserve">[18] The Child Labour (Prohibition and Regulation) Amendment Act, 2016, section 3. </w:t>
      </w:r>
      <w:hyperlink r:id="rId20" w:history="1">
        <w:r w:rsidRPr="002B100C">
          <w:rPr>
            <w:rStyle w:val="Hyperlink"/>
          </w:rPr>
          <w:t>https://haqcrc.org/wp-content/uploads/2018/02/the-child-labour-prohibition-and-regulation-amendment-act-2016.pdf</w:t>
        </w:r>
      </w:hyperlink>
      <w:r w:rsidRPr="002B100C">
        <w:br/>
        <w:t xml:space="preserve">[19] The Child Labour (Prohibition and Regulation) Amendment Rules, 2017, Rule 2C. </w:t>
      </w:r>
      <w:hyperlink r:id="rId21" w:history="1">
        <w:r w:rsidRPr="002B100C">
          <w:rPr>
            <w:rStyle w:val="Hyperlink"/>
          </w:rPr>
          <w:t>https://www.legitquest.com/act/child-labour-prohibition-and-regulation-amendment-</w:t>
        </w:r>
        <w:r w:rsidRPr="002B100C">
          <w:rPr>
            <w:rStyle w:val="Hyperlink"/>
          </w:rPr>
          <w:lastRenderedPageBreak/>
          <w:t>rules-2017/9015</w:t>
        </w:r>
      </w:hyperlink>
      <w:r w:rsidRPr="002B100C">
        <w:br/>
        <w:t xml:space="preserve">[20] National Commission for Protection of Child Rights, </w:t>
      </w:r>
      <w:r w:rsidRPr="002B100C">
        <w:rPr>
          <w:i/>
          <w:iCs/>
        </w:rPr>
        <w:t>Guidelines for Child and Adolescent Participation in the Entertainment Industry and Any Commercial Entertainment Activity</w:t>
      </w:r>
      <w:r w:rsidRPr="002B100C">
        <w:t xml:space="preserve"> (2023). </w:t>
      </w:r>
      <w:hyperlink r:id="rId22" w:history="1">
        <w:r w:rsidRPr="002B100C">
          <w:rPr>
            <w:rStyle w:val="Hyperlink"/>
          </w:rPr>
          <w:t>https://mib.gov.in/sites/default/files/2024-05/ncpcr-guidelinesf-for-child-and-adolescent-participatiion-in-the-entertainment-industry-and-any-commercial-entertainment-activity_0.pdf</w:t>
        </w:r>
      </w:hyperlink>
      <w:r w:rsidRPr="002B100C">
        <w:br/>
        <w:t xml:space="preserve">[21] Constitution of India, Articles 24 and 39 (extract). </w:t>
      </w:r>
      <w:hyperlink r:id="rId23" w:history="1">
        <w:r w:rsidRPr="002B100C">
          <w:rPr>
            <w:rStyle w:val="Hyperlink"/>
          </w:rPr>
          <w:t>https://mksy.up.gov.in/women_welfare/pdf/act4.pdf</w:t>
        </w:r>
      </w:hyperlink>
      <w:r w:rsidRPr="002B100C">
        <w:br/>
        <w:t xml:space="preserve">[22] “Meta, states agree to $17 billion settlement in child safety trial,” NPR, 26 August 2026. </w:t>
      </w:r>
      <w:hyperlink r:id="rId24" w:history="1">
        <w:r w:rsidRPr="002B100C">
          <w:rPr>
            <w:rStyle w:val="Hyperlink"/>
          </w:rPr>
          <w:t>https://www.npr.org/2026/08/26/nx-s1-5944781/meta-settlement-child-safety-lawsuit</w:t>
        </w:r>
      </w:hyperlink>
      <w:r w:rsidRPr="002B100C">
        <w:br/>
        <w:t xml:space="preserve">[23] “Facebook faced with massive penalties after New Mexico privacy verdict,” Courthouse News Service, 2026. </w:t>
      </w:r>
      <w:hyperlink r:id="rId25" w:history="1">
        <w:r w:rsidRPr="002B100C">
          <w:rPr>
            <w:rStyle w:val="Hyperlink"/>
          </w:rPr>
          <w:t>https://courthousenews.com/facebook-faced-with-massive-penalties-after-new-mexico-privacy-verdict</w:t>
        </w:r>
      </w:hyperlink>
      <w:r w:rsidRPr="002B100C">
        <w:br/>
        <w:t xml:space="preserve">[24] “Ministry of Electronics and Information Technology issues notice to X seeking removal of obscene content,” All India Radio News, 2 January 2026. </w:t>
      </w:r>
      <w:hyperlink r:id="rId26" w:history="1">
        <w:r w:rsidRPr="002B100C">
          <w:rPr>
            <w:rStyle w:val="Hyperlink"/>
          </w:rPr>
          <w:t>https://www.newsonair.gov.in/ministry-of-electronics-and-information-technology-issues-notice-to-x-seeking-removal-of-obscene-content</w:t>
        </w:r>
      </w:hyperlink>
      <w:r w:rsidRPr="002B100C">
        <w:br/>
        <w:t xml:space="preserve">[25] “Explicit AI images: MeitY moves against X,” </w:t>
      </w:r>
      <w:r w:rsidRPr="002B100C">
        <w:rPr>
          <w:i/>
          <w:iCs/>
        </w:rPr>
        <w:t>Forbes India</w:t>
      </w:r>
      <w:r w:rsidRPr="002B100C">
        <w:t xml:space="preserve">, 7 January 2026. </w:t>
      </w:r>
      <w:hyperlink r:id="rId27" w:history="1">
        <w:r w:rsidRPr="002B100C">
          <w:rPr>
            <w:rStyle w:val="Hyperlink"/>
          </w:rPr>
          <w:t>https://www.forbesindia.com/article/news/explicit-ai-images-meity-moves-against-x/2990120/1</w:t>
        </w:r>
      </w:hyperlink>
      <w:r w:rsidRPr="002B100C">
        <w:br/>
        <w:t xml:space="preserve">[26] “MeitY Notifies New Amendments to IT Rules to Regulate Synthetic Media and Deepfakes,” MediaNama, February 2026. </w:t>
      </w:r>
      <w:hyperlink r:id="rId28" w:history="1">
        <w:r w:rsidRPr="002B100C">
          <w:rPr>
            <w:rStyle w:val="Hyperlink"/>
          </w:rPr>
          <w:t>https://www.medianama.com/2026/02/223-meity-amendments-it-rules-synthetic-media-deepfakes/</w:t>
        </w:r>
      </w:hyperlink>
      <w:r w:rsidRPr="002B100C">
        <w:br/>
        <w:t xml:space="preserve">[27] “SC seeks Centre’s response on PIL to bar minors from maintaining social media accounts independently,” IANS/The Hans India, 10 September 2026. </w:t>
      </w:r>
      <w:hyperlink r:id="rId29" w:history="1">
        <w:r w:rsidRPr="002B100C">
          <w:rPr>
            <w:rStyle w:val="Hyperlink"/>
          </w:rPr>
          <w:t>https://www.thehansindia.com/news/cities/new-delhi/sc-seeks-centres-response-on-pil-to-bar-minors-from-maintaining-social-media-accounts-independently-1120355</w:t>
        </w:r>
      </w:hyperlink>
      <w:r w:rsidRPr="002B100C">
        <w:br/>
        <w:t xml:space="preserve">[28] “Make Rules To Regulate Children’s Social Media Usage: Supreme Court Tells Centre,” LiveLaw, 28 September 2026. </w:t>
      </w:r>
      <w:hyperlink r:id="rId30" w:history="1">
        <w:r w:rsidRPr="002B100C">
          <w:rPr>
            <w:rStyle w:val="Hyperlink"/>
          </w:rPr>
          <w:t>https://www.livelaw.in/top-stories/supreme-court-pil-against-minor-children-access-to-social-media-sc-says-may-issue-directions-against-social-media-intermediaries-safe-harbor-immunity-552127</w:t>
        </w:r>
      </w:hyperlink>
      <w:r w:rsidRPr="002B100C">
        <w:br/>
        <w:t xml:space="preserve">[29] “‘How Can Platforms Allow 12-13 Year Olds?’: SC Flags Minors’ Social Media Access, Asks Centre To Act,” Outlook India, 29 September 2026. </w:t>
      </w:r>
      <w:hyperlink r:id="rId31" w:history="1">
        <w:r w:rsidRPr="002B100C">
          <w:rPr>
            <w:rStyle w:val="Hyperlink"/>
          </w:rPr>
          <w:t>https://www.outlookindia.com/national/how-can-platforms-allow-12-13-year-olds-sc-flags-minors-social-media-access-asks-centre-to-act</w:t>
        </w:r>
      </w:hyperlink>
      <w:r w:rsidRPr="002B100C">
        <w:br/>
        <w:t xml:space="preserve">[30] Convention on the Rights of the Child, Articles 3, 5 and 16, Office of the UN High Commissioner for Human Rights. </w:t>
      </w:r>
      <w:hyperlink r:id="rId32" w:history="1">
        <w:r w:rsidRPr="002B100C">
          <w:rPr>
            <w:rStyle w:val="Hyperlink"/>
          </w:rPr>
          <w:t>https://www.ohchr.org/sites/default/files/crc.pdf</w:t>
        </w:r>
      </w:hyperlink>
      <w:r w:rsidRPr="002B100C">
        <w:br/>
        <w:t xml:space="preserve">[31] Regulation (EU) 2016/679 (General Data Protection Regulation), Article 8. </w:t>
      </w:r>
      <w:hyperlink r:id="rId33" w:history="1">
        <w:r w:rsidRPr="002B100C">
          <w:rPr>
            <w:rStyle w:val="Hyperlink"/>
          </w:rPr>
          <w:t>https://www.legislation.gov.uk/eur/2016/679/article/8/adopted/data.html</w:t>
        </w:r>
      </w:hyperlink>
    </w:p>
    <w:p w14:paraId="4D0A2460" w14:textId="4A9B6CB1" w:rsidR="002B100C" w:rsidRPr="002B100C" w:rsidRDefault="002B100C" w:rsidP="002B100C"/>
    <w:p w14:paraId="11BBE349" w14:textId="77777777" w:rsidR="002B100C" w:rsidRDefault="002B100C"/>
    <w:sectPr w:rsidR="002B10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00C"/>
    <w:rsid w:val="001B7780"/>
    <w:rsid w:val="002B100C"/>
    <w:rsid w:val="002E011B"/>
    <w:rsid w:val="006762EA"/>
    <w:rsid w:val="007208E3"/>
    <w:rsid w:val="008C39CF"/>
    <w:rsid w:val="008F4DC5"/>
    <w:rsid w:val="00C17DE6"/>
    <w:rsid w:val="00F734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43FF0"/>
  <w15:chartTrackingRefBased/>
  <w15:docId w15:val="{61886D5B-8C43-4E7B-8B39-4E11AFAE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0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0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0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0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0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0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0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0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0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0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0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0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0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0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0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00C"/>
    <w:rPr>
      <w:rFonts w:eastAsiaTheme="majorEastAsia" w:cstheme="majorBidi"/>
      <w:color w:val="272727" w:themeColor="text1" w:themeTint="D8"/>
    </w:rPr>
  </w:style>
  <w:style w:type="paragraph" w:styleId="Title">
    <w:name w:val="Title"/>
    <w:basedOn w:val="Normal"/>
    <w:next w:val="Normal"/>
    <w:link w:val="TitleChar"/>
    <w:uiPriority w:val="10"/>
    <w:qFormat/>
    <w:rsid w:val="002B1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0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0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0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00C"/>
    <w:pPr>
      <w:spacing w:before="160"/>
      <w:jc w:val="center"/>
    </w:pPr>
    <w:rPr>
      <w:i/>
      <w:iCs/>
      <w:color w:val="404040" w:themeColor="text1" w:themeTint="BF"/>
    </w:rPr>
  </w:style>
  <w:style w:type="character" w:customStyle="1" w:styleId="QuoteChar">
    <w:name w:val="Quote Char"/>
    <w:basedOn w:val="DefaultParagraphFont"/>
    <w:link w:val="Quote"/>
    <w:uiPriority w:val="29"/>
    <w:rsid w:val="002B100C"/>
    <w:rPr>
      <w:i/>
      <w:iCs/>
      <w:color w:val="404040" w:themeColor="text1" w:themeTint="BF"/>
    </w:rPr>
  </w:style>
  <w:style w:type="paragraph" w:styleId="ListParagraph">
    <w:name w:val="List Paragraph"/>
    <w:basedOn w:val="Normal"/>
    <w:uiPriority w:val="34"/>
    <w:qFormat/>
    <w:rsid w:val="002B100C"/>
    <w:pPr>
      <w:ind w:left="720"/>
      <w:contextualSpacing/>
    </w:pPr>
  </w:style>
  <w:style w:type="character" w:styleId="IntenseEmphasis">
    <w:name w:val="Intense Emphasis"/>
    <w:basedOn w:val="DefaultParagraphFont"/>
    <w:uiPriority w:val="21"/>
    <w:qFormat/>
    <w:rsid w:val="002B100C"/>
    <w:rPr>
      <w:i/>
      <w:iCs/>
      <w:color w:val="0F4761" w:themeColor="accent1" w:themeShade="BF"/>
    </w:rPr>
  </w:style>
  <w:style w:type="paragraph" w:styleId="IntenseQuote">
    <w:name w:val="Intense Quote"/>
    <w:basedOn w:val="Normal"/>
    <w:next w:val="Normal"/>
    <w:link w:val="IntenseQuoteChar"/>
    <w:uiPriority w:val="30"/>
    <w:qFormat/>
    <w:rsid w:val="002B1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00C"/>
    <w:rPr>
      <w:i/>
      <w:iCs/>
      <w:color w:val="0F4761" w:themeColor="accent1" w:themeShade="BF"/>
    </w:rPr>
  </w:style>
  <w:style w:type="character" w:styleId="IntenseReference">
    <w:name w:val="Intense Reference"/>
    <w:basedOn w:val="DefaultParagraphFont"/>
    <w:uiPriority w:val="32"/>
    <w:qFormat/>
    <w:rsid w:val="002B100C"/>
    <w:rPr>
      <w:b/>
      <w:bCs/>
      <w:smallCaps/>
      <w:color w:val="0F4761" w:themeColor="accent1" w:themeShade="BF"/>
      <w:spacing w:val="5"/>
    </w:rPr>
  </w:style>
  <w:style w:type="character" w:styleId="Hyperlink">
    <w:name w:val="Hyperlink"/>
    <w:basedOn w:val="DefaultParagraphFont"/>
    <w:uiPriority w:val="99"/>
    <w:unhideWhenUsed/>
    <w:rsid w:val="002B100C"/>
    <w:rPr>
      <w:color w:val="467886" w:themeColor="hyperlink"/>
      <w:u w:val="single"/>
    </w:rPr>
  </w:style>
  <w:style w:type="character" w:styleId="UnresolvedMention">
    <w:name w:val="Unresolved Mention"/>
    <w:basedOn w:val="DefaultParagraphFont"/>
    <w:uiPriority w:val="99"/>
    <w:semiHidden/>
    <w:unhideWhenUsed/>
    <w:rsid w:val="002B1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pository.law.indiana.edu/ilj/vol95/iss3/9" TargetMode="External"/><Relationship Id="rId18" Type="http://schemas.openxmlformats.org/officeDocument/2006/relationships/hyperlink" Target="https://www.nujs.edu/wp-content/uploads/2023/12/vol-8iss-3-4.pdf" TargetMode="External"/><Relationship Id="rId26" Type="http://schemas.openxmlformats.org/officeDocument/2006/relationships/hyperlink" Target="https://www.newsonair.gov.in/ministry-of-electronics-and-information-technology-issues-notice-to-x-seeking-removal-of-obscene-content" TargetMode="External"/><Relationship Id="rId3" Type="http://schemas.openxmlformats.org/officeDocument/2006/relationships/webSettings" Target="webSettings.xml"/><Relationship Id="rId21" Type="http://schemas.openxmlformats.org/officeDocument/2006/relationships/hyperlink" Target="https://www.legitquest.com/act/child-labour-prohibition-and-regulation-amendment-rules-2017/9015" TargetMode="External"/><Relationship Id="rId34" Type="http://schemas.openxmlformats.org/officeDocument/2006/relationships/fontTable" Target="fontTable.xml"/><Relationship Id="rId7" Type="http://schemas.openxmlformats.org/officeDocument/2006/relationships/hyperlink" Target="https://www.yahoo.com/news/utah-passes-new-legal-protections-for-child-influencers-more-than-a-year-after-mommy-vlogger-ruby-frankes-child-abuse-conviction-202220954.html" TargetMode="External"/><Relationship Id="rId12" Type="http://schemas.openxmlformats.org/officeDocument/2006/relationships/hyperlink" Target="https://prsindia.org/billtrack/digital-personal-data-protection-bill-2023" TargetMode="External"/><Relationship Id="rId17" Type="http://schemas.openxmlformats.org/officeDocument/2006/relationships/hyperlink" Target="https://www.loc.gov/item/global-legal-monitor/2020-10-30/france-parliament-adopts-law-to-protect-child-influencers-on-social-media/" TargetMode="External"/><Relationship Id="rId25" Type="http://schemas.openxmlformats.org/officeDocument/2006/relationships/hyperlink" Target="https://courthousenews.com/facebook-faced-with-massive-penalties-after-new-mexico-privacy-verdict" TargetMode="External"/><Relationship Id="rId33" Type="http://schemas.openxmlformats.org/officeDocument/2006/relationships/hyperlink" Target="https://www.legislation.gov.uk/eur/2016/679/article/8/adopted/data.html" TargetMode="External"/><Relationship Id="rId2" Type="http://schemas.openxmlformats.org/officeDocument/2006/relationships/settings" Target="settings.xml"/><Relationship Id="rId16" Type="http://schemas.openxmlformats.org/officeDocument/2006/relationships/hyperlink" Target="https://ca.news.yahoo.com/utah-passed-law-protect-child-220011746.html" TargetMode="External"/><Relationship Id="rId20" Type="http://schemas.openxmlformats.org/officeDocument/2006/relationships/hyperlink" Target="https://haqcrc.org/wp-content/uploads/2018/02/the-child-labour-prohibition-and-regulation-amendment-act-2016.pdf" TargetMode="External"/><Relationship Id="rId29" Type="http://schemas.openxmlformats.org/officeDocument/2006/relationships/hyperlink" Target="https://www.thehansindia.com/news/cities/new-delhi/sc-seeks-centres-response-on-pil-to-bar-minors-from-maintaining-social-media-accounts-independently-1120355" TargetMode="External"/><Relationship Id="rId1" Type="http://schemas.openxmlformats.org/officeDocument/2006/relationships/styles" Target="styles.xml"/><Relationship Id="rId6" Type="http://schemas.openxmlformats.org/officeDocument/2006/relationships/hyperlink" Target="https://fastdemocracy.com/bill-search/ut/2025/bills/UTB00013424/" TargetMode="External"/><Relationship Id="rId11" Type="http://schemas.openxmlformats.org/officeDocument/2006/relationships/hyperlink" Target="https://www.twobirds.com/en/insights/2023/global/decrypting-indias-new-data-protection-law-key-insights-and-lessons-learned" TargetMode="External"/><Relationship Id="rId24" Type="http://schemas.openxmlformats.org/officeDocument/2006/relationships/hyperlink" Target="https://www.npr.org/2026/08/26/nx-s1-5944781/meta-settlement-child-safety-lawsuit" TargetMode="External"/><Relationship Id="rId32" Type="http://schemas.openxmlformats.org/officeDocument/2006/relationships/hyperlink" Target="https://www.ohchr.org/sites/default/files/crc.pdf" TargetMode="External"/><Relationship Id="rId5" Type="http://schemas.openxmlformats.org/officeDocument/2006/relationships/hyperlink" Target="https://abcnews.com/GMA/Family/parenting-influencers-speak-new-law-designed-protect-kids/story?id=111580202" TargetMode="External"/><Relationship Id="rId15" Type="http://schemas.openxmlformats.org/officeDocument/2006/relationships/hyperlink" Target="https://le.utah.gov/Session/2025/bills/enrolled/HB0322.pdf" TargetMode="External"/><Relationship Id="rId23" Type="http://schemas.openxmlformats.org/officeDocument/2006/relationships/hyperlink" Target="https://mksy.up.gov.in/women_welfare/pdf/act4.pdf" TargetMode="External"/><Relationship Id="rId28" Type="http://schemas.openxmlformats.org/officeDocument/2006/relationships/hyperlink" Target="https://www.medianama.com/2026/02/223-meity-amendments-it-rules-synthetic-media-deepfakes/" TargetMode="External"/><Relationship Id="rId10" Type="http://schemas.openxmlformats.org/officeDocument/2006/relationships/hyperlink" Target="https://digitallibrary.un.org/record/3906061?ln=en" TargetMode="External"/><Relationship Id="rId19" Type="http://schemas.openxmlformats.org/officeDocument/2006/relationships/hyperlink" Target="https://www.centreforfamilylaw.com/post/family-vlogs-to-deepfakes-why-india-needs-a-digital-child-rights-law" TargetMode="External"/><Relationship Id="rId31" Type="http://schemas.openxmlformats.org/officeDocument/2006/relationships/hyperlink" Target="https://www.outlookindia.com/national/how-can-platforms-allow-12-13-year-olds-sc-flags-minors-social-media-access-asks-centre-to-act" TargetMode="External"/><Relationship Id="rId4" Type="http://schemas.openxmlformats.org/officeDocument/2006/relationships/hyperlink" Target="https://www.sltrib.com/news/2025/03/11/utah-bill-aimed-protecting-child/" TargetMode="External"/><Relationship Id="rId9" Type="http://schemas.openxmlformats.org/officeDocument/2006/relationships/hyperlink" Target="https://www.scobserver.in/cases/puttaswamy-v-union-of-india-fundamental-right-to-privacy-case-background/" TargetMode="External"/><Relationship Id="rId14" Type="http://schemas.openxmlformats.org/officeDocument/2006/relationships/hyperlink" Target="https://hrlr.law.columbia.edu/files/2025/03/Agarwala_Childrens-Privacy-and-the-Ghost-of-Social-Media-Past_Final-Upload.pdf" TargetMode="External"/><Relationship Id="rId22" Type="http://schemas.openxmlformats.org/officeDocument/2006/relationships/hyperlink" Target="https://mib.gov.in/sites/default/files/2024-05/ncpcr-guidelinesf-for-child-and-adolescent-participatiion-in-the-entertainment-industry-and-any-commercial-entertainment-activity_0.pdf" TargetMode="External"/><Relationship Id="rId27" Type="http://schemas.openxmlformats.org/officeDocument/2006/relationships/hyperlink" Target="https://www.forbesindia.com/article/news/explicit-ai-images-meity-moves-against-x/2990120/1" TargetMode="External"/><Relationship Id="rId30" Type="http://schemas.openxmlformats.org/officeDocument/2006/relationships/hyperlink" Target="https://www.livelaw.in/top-stories/supreme-court-pil-against-minor-children-access-to-social-media-sc-says-may-issue-directions-against-social-media-intermediaries-safe-harbor-immunity-552127" TargetMode="External"/><Relationship Id="rId35" Type="http://schemas.openxmlformats.org/officeDocument/2006/relationships/theme" Target="theme/theme1.xml"/><Relationship Id="rId8" Type="http://schemas.openxmlformats.org/officeDocument/2006/relationships/hyperlink" Target="https://www.meity.gov.in/static/uploads/2024/06/2bf1f0e9f04e6fb4f8fef35e82c42aa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11</Pages>
  <Words>4458</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 k</dc:creator>
  <cp:keywords/>
  <dc:description/>
  <cp:lastModifiedBy>shreya k</cp:lastModifiedBy>
  <cp:revision>3</cp:revision>
  <dcterms:created xsi:type="dcterms:W3CDTF">2026-10-10T07:23:00Z</dcterms:created>
  <dcterms:modified xsi:type="dcterms:W3CDTF">2026-10-10T08:42:00Z</dcterms:modified>
</cp:coreProperties>
</file>