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0" w:line="288" w:lineRule="auto"/>
        <w:jc w:val="center"/>
      </w:pPr>
      <w:r>
        <w:rPr>
          <w:b/>
          <w:color w:val="17365D"/>
          <w:sz w:val="42"/>
        </w:rPr>
        <w:t>Machine Learning Approaches for</w:t>
        <w:br/>
        <w:t>Automated Contract Risk Assessment</w:t>
      </w:r>
    </w:p>
    <w:p>
      <w:pPr>
        <w:spacing w:before="500"/>
        <w:jc w:val="center"/>
      </w:pPr>
      <w:r>
        <w:rPr>
          <w:i/>
          <w:sz w:val="28"/>
        </w:rPr>
        <w:t>A Narrative Literature Review and Proposed Human-Guided Framework</w:t>
      </w:r>
    </w:p>
    <w:p>
      <w:pPr>
        <w:spacing w:before="1400"/>
        <w:jc w:val="center"/>
      </w:pPr>
      <w:r>
        <w:t>AUTHOR-COMPLETION ITEM: Enter author name, affiliation, and contact details</w:t>
      </w:r>
    </w:p>
    <w:p>
      <w:pPr>
        <w:jc w:val="center"/>
      </w:pPr>
      <w:r>
        <w:t>Manuscript draft | 3 October 2026</w:t>
      </w:r>
    </w:p>
    <w:p>
      <w:pPr>
        <w:spacing w:before="2600"/>
        <w:jc w:val="center"/>
      </w:pPr>
      <w:r>
        <w:rPr>
          <w:i/>
          <w:sz w:val="20"/>
        </w:rPr>
        <w:t>Narrative synthesis; search protocol and journal-specific checks remain to be completed by the author.</w:t>
      </w:r>
    </w:p>
    <w:p>
      <w:r>
        <w:br w:type="page"/>
      </w:r>
    </w:p>
    <w:p>
      <w:pPr>
        <w:pStyle w:val="Heading1"/>
      </w:pPr>
      <w:r>
        <w:t>Abstract</w:t>
      </w:r>
    </w:p>
    <w:p>
      <w:pPr>
        <w:spacing w:line="480" w:lineRule="auto"/>
      </w:pPr>
      <w:r>
        <w:t>Contracts allocate obligations, rights, costs, remedies, and uncertainty. Their length, cross-references, drafting variation, and dependence on external context make consistent review difficult, while overlooked provisions can have material consequences. This narrative review examines machine learning (ML) approaches that can assist automated contract risk assessment. It organizes the problem as document processing, clause retrieval, classification, extraction, comparison, evidence-linked explanation, and human decision. It distinguishes clause detection from legal judgment: identifying language associated with a risk category does not establish whether that language is acceptable in a particular transaction, jurisdiction, or business context.</w:t>
      </w:r>
    </w:p>
    <w:p>
      <w:pPr>
        <w:spacing w:line="480" w:lineRule="auto"/>
      </w:pPr>
      <w:r>
        <w:t>The literature includes supervised legal-text classification, expert-annotated contract datasets, domain-adapted language models, long-document processing, and emerging generative systems. CUAD and LEDGAR enable defined tasks, but their labels and source distributions do not represent every contract population or every meaning of risk. The review develops a multidimensional taxonomy covering financial, operational, legal and regulatory, data and security, intellectual-property, temporal, governance, and structural concerns. It compares rules, statistical methods, neural models, transformers, retrieval-augmented generation, and hybrid systems; proposes task-appropriate evaluation; and outlines a human-in-the-loop architecture with traceable evidence, abstention, access controls, and monitoring.</w:t>
      </w:r>
    </w:p>
    <w:p>
      <w:pPr>
        <w:spacing w:line="480" w:lineRule="auto"/>
      </w:pPr>
      <w:r>
        <w:t>This is a narrative synthesis, not a completed systematic review or empirical evaluation. No experiments, new dataset, results, or causal claims are reported. A search-protocol template is supplied for author completion. The proposed framework is a design synthesis, not a validated legal decision system. Reliable automation should prioritize evidence retrieval, calibrated triage, and accountable review over unqualified autonomous risk scores.</w:t>
      </w:r>
    </w:p>
    <w:p>
      <w:pPr>
        <w:spacing w:line="480" w:lineRule="auto"/>
      </w:pPr>
      <w:r>
        <w:t>Keywords: contract analytics; legal NLP; machine learning; clause classification; risk assessment; human-in-the-loop; explainability; privacy</w:t>
      </w:r>
    </w:p>
    <w:p>
      <w:pPr>
        <w:pStyle w:val="Heading2"/>
      </w:pPr>
      <w:r>
        <w:t>Author completion and submission notes</w:t>
      </w:r>
    </w:p>
    <w:p>
      <w:pPr>
        <w:spacing w:line="480" w:lineRule="auto"/>
      </w:pPr>
      <w:r>
        <w:t>Complete the search log and screening fields in Section 3, verify bibliographic details against publisher records, add author details, and confirm that the target journal accepts a narrative review. Check reference style, length, ethics statements, and current AI-assistance disclosure rules. Add an accurate disclosure if required. This draft does not assert peer review or publication acceptance.</w:t>
      </w:r>
    </w:p>
    <w:p>
      <w:r>
        <w:br w:type="page"/>
      </w:r>
    </w:p>
    <w:p>
      <w:pPr>
        <w:pStyle w:val="Heading1"/>
      </w:pPr>
      <w:r>
        <w:t>1. Introduction</w:t>
      </w:r>
    </w:p>
    <w:p>
      <w:pPr>
        <w:spacing w:line="480" w:lineRule="auto"/>
      </w:pPr>
      <w:r>
        <w:t>Commercial agreements are records of negotiated intent and operational instructions. A master services agreement may define payment and liability, while statements of work, data-processing terms, exhibits, incorporated policies, amendments, and order forms refine or override those terms. A reviewer must find relevant language, understand its relation to other provisions, compare it with a task-specific standard, and decide what action is appropriate. The first activities are increasingly amenable to computational assistance; final legal and commercial judgment remains contextual.</w:t>
      </w:r>
    </w:p>
    <w:p>
      <w:pPr>
        <w:spacing w:line="480" w:lineRule="auto"/>
      </w:pPr>
      <w:r>
        <w:t>“Contract risk” has no universal label. A clause may be unusual but acceptable in a strategic transaction, or conventional in form but unacceptable because of a data flow, jurisdiction, bargaining position, or exposure limit. Risk is better represented as a structured assessment: category, relevant text, parties affected, trigger, potential consequence, comparator, uncertainty, and reason for human inspection. A scalar score can conceal these dimensions and suggest precision that evidence does not support.</w:t>
      </w:r>
    </w:p>
    <w:p>
      <w:pPr>
        <w:spacing w:line="480" w:lineRule="auto"/>
      </w:pPr>
      <w:r>
        <w:t>Legal NLP research supplies methods for extracting and classifying provisions. CUAD, for example, is an expert-annotated collection targeting contract-review questions across 41 clause types (Hendrycks et al., 2021). LEDGAR provides large-scale provision labels mined from SEC filings (Tuggener et al., 2020). These are useful resources, but benchmark success on a fixed task does not establish reliable assessment of another portfolio, genre, or legal context. Dataset provenance, label boundaries, and task definitions matter.</w:t>
      </w:r>
    </w:p>
    <w:p>
      <w:pPr>
        <w:spacing w:line="480" w:lineRule="auto"/>
      </w:pPr>
      <w:r>
        <w:t>This review aims to: (1) describe a useful task decomposition; (2) organize risk categories and signals needed to identify them; (3) compare methods and evaluation choices; and (4) propose an auditable human-guided architecture. Published benchmark reports are evidence about their particular tasks. The taxonomy and architecture here are proposed synthesis. No original experiment, systematic search, or measured legal outcome is reported.</w:t>
      </w:r>
    </w:p>
    <w:p>
      <w:pPr>
        <w:spacing w:line="480" w:lineRule="auto"/>
      </w:pPr>
      <w:r>
        <w:t>The contribution is a bridge between model-centric NLP and review practice. A useful tool helps a person move from a contract to a defensible action. It must preserve source context, show uncertainty and missing information, apply a stated playbook, and record who decided what. Classification estimates correspondence with annotated examples; it does not independently establish enforceability, compliance, fairness, or acceptable exposure.</w:t>
      </w:r>
    </w:p>
    <w:p>
      <w:pPr>
        <w:pStyle w:val="Heading2"/>
      </w:pPr>
      <w:r>
        <w:t>1.1 Scope and terminology</w:t>
      </w:r>
    </w:p>
    <w:p>
      <w:pPr>
        <w:spacing w:line="480" w:lineRule="auto"/>
      </w:pPr>
      <w:r>
        <w:t>Automated contract risk assessment means computational assistance that identifies, organizes, compares, or summarizes text relevant to a predefined review policy. It includes document ingestion, clause location, provision labeling, obligation extraction, cross-clause linking, deviation detection, and reviewer-facing explanations. It excludes autonomous legal advice, contract negotiation, litigation prediction, and legal-validity determinations unless a cited study expressly evaluates that task. A “risk flag” is a candidate for review, not a final finding.</w:t>
      </w:r>
    </w:p>
    <w:p>
      <w:pPr>
        <w:spacing w:line="480" w:lineRule="auto"/>
      </w:pPr>
      <w:r>
        <w:t>The focus is natural-language contracts and hybrid workflows. Smart-contract code vulnerabilities are related but distinct: code analysis examines implementation behavior, whereas an agreement may govern rights around that code. English-language research dominates the examples cited here; multilingual transfer requires direct validation.</w:t>
      </w:r>
    </w:p>
    <w:p>
      <w:pPr>
        <w:pStyle w:val="Heading2"/>
      </w:pPr>
      <w:r>
        <w:t>1.2 Review questions</w:t>
      </w:r>
    </w:p>
    <w:p>
      <w:pPr>
        <w:spacing w:line="480" w:lineRule="auto"/>
      </w:pPr>
      <w:r>
        <w:t>RQ1: What subtasks and risk dimensions constitute a useful workflow?</w:t>
      </w:r>
    </w:p>
    <w:p>
      <w:pPr>
        <w:spacing w:line="480" w:lineRule="auto"/>
      </w:pPr>
      <w:r>
        <w:t>RQ2: Which method families support those subtasks, and what trade-offs shape use?</w:t>
      </w:r>
    </w:p>
    <w:p>
      <w:pPr>
        <w:spacing w:line="480" w:lineRule="auto"/>
      </w:pPr>
      <w:r>
        <w:t>RQ3: How should systems be evaluated when labels are sparse, costs asymmetric, and deployment conditions vary?</w:t>
      </w:r>
    </w:p>
    <w:p>
      <w:pPr>
        <w:spacing w:line="480" w:lineRule="auto"/>
      </w:pPr>
      <w:r>
        <w:t>RQ4: What architecture and governance controls keep results evidence-linked, privacy-aware, and accountable?</w:t>
      </w:r>
    </w:p>
    <w:p>
      <w:pPr>
        <w:pStyle w:val="Heading1"/>
      </w:pPr>
      <w:r>
        <w:t>2. Research background and conceptual foundations</w:t>
      </w:r>
    </w:p>
    <w:p>
      <w:pPr>
        <w:pStyle w:val="Heading2"/>
      </w:pPr>
      <w:r>
        <w:t>2.1 Contract review as retrieval and decision support</w:t>
      </w:r>
    </w:p>
    <w:p>
      <w:pPr>
        <w:spacing w:line="480" w:lineRule="auto"/>
      </w:pPr>
      <w:r>
        <w:t>A reviewer starts with a question: locate indemnification duties, identify a unilateral amendment right, compare a liability cap with policy, or find whether a processor may use subprocessors. This combines information retrieval and decision support. Retrieval asks whether relevant language was found; extraction asks what facts appear; comparison asks how those facts relate to a reference; decision support presents the result for inspection. These are distinct tasks and should be measured separately.</w:t>
      </w:r>
    </w:p>
    <w:p>
      <w:pPr>
        <w:spacing w:line="480" w:lineRule="auto"/>
      </w:pPr>
      <w:r>
        <w:t>Errors have different causes. OCR can omit a page; segmentation can split a clause; retrieval can miss a distant cross-reference; classification can assign a wrong category; a policy engine can use a stale comparator; and an interface can hide decisive evidence. Calling all of these “model accuracy” obscures where safeguards belong. Contracts encode meaning through definitions, exceptions, negation, conditions, and precedence rules. A clause may rely on an exhibit or amendment, so review is document-level even when the interface shows a short span.</w:t>
      </w:r>
    </w:p>
    <w:p>
      <w:pPr>
        <w:pStyle w:val="Heading2"/>
      </w:pPr>
      <w:r>
        <w:t>2.2 Pattern recognition versus legal interpretation</w:t>
      </w:r>
    </w:p>
    <w:p>
      <w:pPr>
        <w:spacing w:line="480" w:lineRule="auto"/>
      </w:pPr>
      <w:r>
        <w:t>Statistical models learn regularities in annotated examples. They can be useful for bounded tasks such as locating a span or assigning an agreed provision label. A target label is an operationalization shaped by annotation guidance, source documents, and adjudication; it is not automatically a legal doctrine or an organization’s risk policy. A model that finds a limitation-of-liability clause cannot decide enforceability or sufficiency. Keep textual evidence, policy comparison, and reviewer judgment separate.</w:t>
      </w:r>
    </w:p>
    <w:p>
      <w:pPr>
        <w:spacing w:line="480" w:lineRule="auto"/>
      </w:pPr>
      <w:r>
        <w:t>Context may include jurisdiction, transaction facts, business model, and the complete agreement. A system can extract the cap amount and identify a policy deviation if the comparator is defined. An authorized human should decide whether to accept, negotiate, or escalate that deviation. This division clarifies both capability and accountability.</w:t>
      </w:r>
    </w:p>
    <w:p>
      <w:pPr>
        <w:pStyle w:val="Heading2"/>
      </w:pPr>
      <w:r>
        <w:t>2.3 Public legal NLP resources</w:t>
      </w:r>
    </w:p>
    <w:p>
      <w:pPr>
        <w:spacing w:line="480" w:lineRule="auto"/>
      </w:pPr>
      <w:r>
        <w:t>CUAD was introduced to address the scarcity of expert labels for contract review. Its 510 contracts and more than 13,000 annotations cover 41 clause types relevant to corporate transactions (Hendrycks et al., 2021; Atticus Project, n.d.). It enables extractive question-answering and clause-identification tasks. A fixed category set and source collection cannot represent every language, jurisdiction, and edge case.</w:t>
      </w:r>
    </w:p>
    <w:p>
      <w:pPr>
        <w:spacing w:line="480" w:lineRule="auto"/>
      </w:pPr>
      <w:r>
        <w:t>LEDGAR was assembled from provisions in SEC filings and provides a large multi-label corpus of legal provision types (Tuggener et al., 2020). It illustrates the value of naturally occurring public contracts and scalable labels. Filing provenance shapes its distribution; it may not resemble private procurement, employment, healthcare, or consumer contracts. Scale alone does not remove source bias.</w:t>
      </w:r>
    </w:p>
    <w:p>
      <w:pPr>
        <w:spacing w:line="480" w:lineRule="auto"/>
      </w:pPr>
      <w:r>
        <w:t>A recent construction-focused study illustrates a more application-specific task. Dikmen et al. (2025) labeled sentences by type and related party, trained on FIDIC templates, and tested on a real project contract. They report 89% accuracy for sentence type and 83% for related-party classification in that study. These are results for its reported sample, taxonomy, and test contract, not evidence of general contract-risk accuracy or legal acceptability.</w:t>
      </w:r>
    </w:p>
    <w:p>
      <w:pPr>
        <w:spacing w:line="480" w:lineRule="auto"/>
      </w:pPr>
      <w:r>
        <w:t>Chalkidis et al. (2020) introduced LEGAL-BERT models and evaluated legal NLP tasks, illustrating domain-adaptive pretraining. Legal-domain training may help represent legal vocabulary and style, but it does not guarantee improvement for every task, jurisdiction, or institution. Target-use validation remains necessary. Benchmark scores belong to the documented task, data split, annotation scheme, and metric; they are not expected deployment results.</w:t>
      </w:r>
    </w:p>
    <w:p>
      <w:pPr>
        <w:pStyle w:val="Heading2"/>
      </w:pPr>
      <w:r>
        <w:t>2.4 Risk as a contextual construct</w:t>
      </w:r>
    </w:p>
    <w:p>
      <w:pPr>
        <w:spacing w:line="480" w:lineRule="auto"/>
      </w:pPr>
      <w:r>
        <w:t>“Uncapped liability” describes a textual pattern; the risk proposition may be disproportionate exposure under a particular policy. That judgment can require knowing what losses are excluded, whether caps are aggregate or per-claim, how indemnities interact, the contract value, insurance, and bargaining context. A useful record includes risk domain, span, actor, action, trigger, duration, exception, cross-reference, benchmark, consequence, confidence, policy match, and disposition. Confidence that a span matches a label is different from confidence that an exposure is unacceptable.</w:t>
      </w:r>
    </w:p>
    <w:p>
      <w:pPr>
        <w:pStyle w:val="Heading1"/>
      </w:pPr>
      <w:r>
        <w:t>3. Review design and search protocol template</w:t>
      </w:r>
    </w:p>
    <w:p>
      <w:pPr>
        <w:spacing w:line="480" w:lineRule="auto"/>
      </w:pPr>
      <w:r>
        <w:t>This manuscript is a narrative review. A bounded search informed the examples, but no reproducible systematic search, full screening, duplicate removal, or formal quality appraisal was completed for this draft. The following template is for author use before describing the work as systematic or scoping. Bracketed fields require actual search data and must not be filled by inference.</w:t>
      </w:r>
    </w:p>
    <w:p>
      <w:pPr>
        <w:pStyle w:val="Heading2"/>
      </w:pPr>
      <w:r>
        <w:t>3.1 Scope and eligibility</w:t>
      </w:r>
    </w:p>
    <w:p>
      <w:pPr>
        <w:spacing w:line="480" w:lineRule="auto"/>
      </w:pPr>
      <w:r>
        <w:t>Proposed evidence includes peer-reviewed papers, proceedings, preprints marked as such, public dataset documentation, standards, and official governance guidance relevant to contract NLP or AI risk management. Include clause classification, span extraction, contract question answering, long-document processing, comparison, legal-domain models, human oversight, and evaluation when contract review is explicit. Exclude marketing claims without technical documentation, smart-contract code studies alone, and general legal-prediction studies without contract text.</w:t>
      </w:r>
    </w:p>
    <w:p>
      <w:pPr>
        <w:spacing w:line="480" w:lineRule="auto"/>
      </w:pPr>
      <w:r>
        <w:t>The author should decide whether general legal-document NLP counts as methods evidence and state publication-year and language limits. Screen titles and abstracts, then assess full texts using documented criteria. Record full-text exclusion reasons. Separate empirical studies, dataset papers, systems, conceptual proposals, and standards instead of pooling unlike evidence.</w:t>
      </w:r>
    </w:p>
    <w:p>
      <w:pPr>
        <w:pStyle w:val="Heading2"/>
      </w:pPr>
      <w:r>
        <w:t>3.2 Search strategy to complete</w:t>
      </w:r>
    </w:p>
    <w:p>
      <w:pPr>
        <w:spacing w:line="480" w:lineRule="auto"/>
      </w:pPr>
      <w:r>
        <w:t>Suggested discovery sources include ACL Anthology, arXiv, Crossref or Semantic Scholar, publisher databases available through the author’s institution, and official dataset or standards sites. Record exact syntax, filters, and date for each source. Adapt query blocks such as: (contract OR agreement) AND (risk OR review OR clause) AND (machine learning OR NLP OR language model); (contract clause classification OR contract question answering); (legal language model AND contract); (contract review AND human oversight). Deduplicate by DOI, title, and author-year, then manually confirm near matches.</w:t>
      </w:r>
    </w:p>
    <w:tbl>
      <w:tblPr>
        <w:tblStyle w:val="TableGrid"/>
        <w:tblW w:type="auto" w:w="0"/>
        <w:jc w:val="center"/>
        <w:tblLook w:firstColumn="1" w:firstRow="1" w:lastColumn="0" w:lastRow="0" w:noHBand="0" w:noVBand="1" w:val="04A0"/>
      </w:tblPr>
      <w:tblGrid>
        <w:gridCol w:w="4680"/>
        <w:gridCol w:w="4680"/>
      </w:tblGrid>
      <w:tr>
        <w:tc>
          <w:tcPr>
            <w:tcW w:type="dxa" w:w="4680"/>
            <w:shd w:fill="D9E6F2"/>
          </w:tcPr>
          <w:p>
            <w:pPr>
              <w:spacing w:line="252" w:lineRule="auto" w:after="40"/>
            </w:pPr>
            <w:r>
              <w:rPr>
                <w:rFonts w:ascii="Times New Roman" w:hAnsi="Times New Roman"/>
                <w:sz w:val="18"/>
              </w:rPr>
              <w:t>Protocol item</w:t>
            </w:r>
          </w:p>
        </w:tc>
        <w:tc>
          <w:tcPr>
            <w:tcW w:type="dxa" w:w="4680"/>
            <w:shd w:fill="D9E6F2"/>
          </w:tcPr>
          <w:p>
            <w:pPr>
              <w:spacing w:line="252" w:lineRule="auto" w:after="40"/>
            </w:pPr>
            <w:r>
              <w:rPr>
                <w:rFonts w:ascii="Times New Roman" w:hAnsi="Times New Roman"/>
                <w:sz w:val="18"/>
              </w:rPr>
              <w:t>Author entry required</w:t>
            </w:r>
          </w:p>
        </w:tc>
      </w:tr>
      <w:tr>
        <w:tc>
          <w:tcPr>
            <w:tcW w:type="dxa" w:w="4680"/>
          </w:tcPr>
          <w:p>
            <w:pPr>
              <w:spacing w:line="252" w:lineRule="auto" w:after="40"/>
            </w:pPr>
            <w:r>
              <w:rPr>
                <w:rFonts w:ascii="Times New Roman" w:hAnsi="Times New Roman"/>
                <w:sz w:val="18"/>
              </w:rPr>
              <w:t>Search date(s)</w:t>
            </w:r>
          </w:p>
        </w:tc>
        <w:tc>
          <w:tcPr>
            <w:tcW w:type="dxa" w:w="4680"/>
          </w:tcPr>
          <w:p>
            <w:pPr>
              <w:spacing w:line="252" w:lineRule="auto" w:after="40"/>
            </w:pPr>
            <w:r>
              <w:rPr>
                <w:rFonts w:ascii="Times New Roman" w:hAnsi="Times New Roman"/>
                <w:sz w:val="18"/>
              </w:rPr>
              <w:t>[Enter actual dates and time zone]</w:t>
            </w:r>
          </w:p>
        </w:tc>
      </w:tr>
      <w:tr>
        <w:tc>
          <w:tcPr>
            <w:tcW w:type="dxa" w:w="4680"/>
          </w:tcPr>
          <w:p>
            <w:pPr>
              <w:spacing w:line="252" w:lineRule="auto" w:after="40"/>
            </w:pPr>
            <w:r>
              <w:rPr>
                <w:rFonts w:ascii="Times New Roman" w:hAnsi="Times New Roman"/>
                <w:sz w:val="18"/>
              </w:rPr>
              <w:t>Databases and platforms</w:t>
            </w:r>
          </w:p>
        </w:tc>
        <w:tc>
          <w:tcPr>
            <w:tcW w:type="dxa" w:w="4680"/>
          </w:tcPr>
          <w:p>
            <w:pPr>
              <w:spacing w:line="252" w:lineRule="auto" w:after="40"/>
            </w:pPr>
            <w:r>
              <w:rPr>
                <w:rFonts w:ascii="Times New Roman" w:hAnsi="Times New Roman"/>
                <w:sz w:val="18"/>
              </w:rPr>
              <w:t>[List each source and coverage]</w:t>
            </w:r>
          </w:p>
        </w:tc>
      </w:tr>
      <w:tr>
        <w:tc>
          <w:tcPr>
            <w:tcW w:type="dxa" w:w="4680"/>
          </w:tcPr>
          <w:p>
            <w:pPr>
              <w:spacing w:line="252" w:lineRule="auto" w:after="40"/>
            </w:pPr>
            <w:r>
              <w:rPr>
                <w:rFonts w:ascii="Times New Roman" w:hAnsi="Times New Roman"/>
                <w:sz w:val="18"/>
              </w:rPr>
              <w:t>Exact queries and fields</w:t>
            </w:r>
          </w:p>
        </w:tc>
        <w:tc>
          <w:tcPr>
            <w:tcW w:type="dxa" w:w="4680"/>
          </w:tcPr>
          <w:p>
            <w:pPr>
              <w:spacing w:line="252" w:lineRule="auto" w:after="40"/>
            </w:pPr>
            <w:r>
              <w:rPr>
                <w:rFonts w:ascii="Times New Roman" w:hAnsi="Times New Roman"/>
                <w:sz w:val="18"/>
              </w:rPr>
              <w:t>[Paste exact strings, filters, and field tags]</w:t>
            </w:r>
          </w:p>
        </w:tc>
      </w:tr>
      <w:tr>
        <w:tc>
          <w:tcPr>
            <w:tcW w:type="dxa" w:w="4680"/>
          </w:tcPr>
          <w:p>
            <w:pPr>
              <w:spacing w:line="252" w:lineRule="auto" w:after="40"/>
            </w:pPr>
            <w:r>
              <w:rPr>
                <w:rFonts w:ascii="Times New Roman" w:hAnsi="Times New Roman"/>
                <w:sz w:val="18"/>
              </w:rPr>
              <w:t>Records retrieved</w:t>
            </w:r>
          </w:p>
        </w:tc>
        <w:tc>
          <w:tcPr>
            <w:tcW w:type="dxa" w:w="4680"/>
          </w:tcPr>
          <w:p>
            <w:pPr>
              <w:spacing w:line="252" w:lineRule="auto" w:after="40"/>
            </w:pPr>
            <w:r>
              <w:rPr>
                <w:rFonts w:ascii="Times New Roman" w:hAnsi="Times New Roman"/>
                <w:sz w:val="18"/>
              </w:rPr>
              <w:t>[Counts by source before deduplication]</w:t>
            </w:r>
          </w:p>
        </w:tc>
      </w:tr>
      <w:tr>
        <w:tc>
          <w:tcPr>
            <w:tcW w:type="dxa" w:w="4680"/>
          </w:tcPr>
          <w:p>
            <w:pPr>
              <w:spacing w:line="252" w:lineRule="auto" w:after="40"/>
            </w:pPr>
            <w:r>
              <w:rPr>
                <w:rFonts w:ascii="Times New Roman" w:hAnsi="Times New Roman"/>
                <w:sz w:val="18"/>
              </w:rPr>
              <w:t>Duplicates removed</w:t>
            </w:r>
          </w:p>
        </w:tc>
        <w:tc>
          <w:tcPr>
            <w:tcW w:type="dxa" w:w="4680"/>
          </w:tcPr>
          <w:p>
            <w:pPr>
              <w:spacing w:line="252" w:lineRule="auto" w:after="40"/>
            </w:pPr>
            <w:r>
              <w:rPr>
                <w:rFonts w:ascii="Times New Roman" w:hAnsi="Times New Roman"/>
                <w:sz w:val="18"/>
              </w:rPr>
              <w:t>[Method and count]</w:t>
            </w:r>
          </w:p>
        </w:tc>
      </w:tr>
      <w:tr>
        <w:tc>
          <w:tcPr>
            <w:tcW w:type="dxa" w:w="4680"/>
          </w:tcPr>
          <w:p>
            <w:pPr>
              <w:spacing w:line="252" w:lineRule="auto" w:after="40"/>
            </w:pPr>
            <w:r>
              <w:rPr>
                <w:rFonts w:ascii="Times New Roman" w:hAnsi="Times New Roman"/>
                <w:sz w:val="18"/>
              </w:rPr>
              <w:t>Screening</w:t>
            </w:r>
          </w:p>
        </w:tc>
        <w:tc>
          <w:tcPr>
            <w:tcW w:type="dxa" w:w="4680"/>
          </w:tcPr>
          <w:p>
            <w:pPr>
              <w:spacing w:line="252" w:lineRule="auto" w:after="40"/>
            </w:pPr>
            <w:r>
              <w:rPr>
                <w:rFonts w:ascii="Times New Roman" w:hAnsi="Times New Roman"/>
                <w:sz w:val="18"/>
              </w:rPr>
              <w:t>[Screeners, roles, and process]</w:t>
            </w:r>
          </w:p>
        </w:tc>
      </w:tr>
      <w:tr>
        <w:tc>
          <w:tcPr>
            <w:tcW w:type="dxa" w:w="4680"/>
          </w:tcPr>
          <w:p>
            <w:pPr>
              <w:spacing w:line="252" w:lineRule="auto" w:after="40"/>
            </w:pPr>
            <w:r>
              <w:rPr>
                <w:rFonts w:ascii="Times New Roman" w:hAnsi="Times New Roman"/>
                <w:sz w:val="18"/>
              </w:rPr>
              <w:t>Full-text exclusions</w:t>
            </w:r>
          </w:p>
        </w:tc>
        <w:tc>
          <w:tcPr>
            <w:tcW w:type="dxa" w:w="4680"/>
          </w:tcPr>
          <w:p>
            <w:pPr>
              <w:spacing w:line="252" w:lineRule="auto" w:after="40"/>
            </w:pPr>
            <w:r>
              <w:rPr>
                <w:rFonts w:ascii="Times New Roman" w:hAnsi="Times New Roman"/>
                <w:sz w:val="18"/>
              </w:rPr>
              <w:t>[Reasons and counts]</w:t>
            </w:r>
          </w:p>
        </w:tc>
      </w:tr>
      <w:tr>
        <w:tc>
          <w:tcPr>
            <w:tcW w:type="dxa" w:w="4680"/>
          </w:tcPr>
          <w:p>
            <w:pPr>
              <w:spacing w:line="252" w:lineRule="auto" w:after="40"/>
            </w:pPr>
            <w:r>
              <w:rPr>
                <w:rFonts w:ascii="Times New Roman" w:hAnsi="Times New Roman"/>
                <w:sz w:val="18"/>
              </w:rPr>
              <w:t>Included evidence</w:t>
            </w:r>
          </w:p>
        </w:tc>
        <w:tc>
          <w:tcPr>
            <w:tcW w:type="dxa" w:w="4680"/>
          </w:tcPr>
          <w:p>
            <w:pPr>
              <w:spacing w:line="252" w:lineRule="auto" w:after="40"/>
            </w:pPr>
            <w:r>
              <w:rPr>
                <w:rFonts w:ascii="Times New Roman" w:hAnsi="Times New Roman"/>
                <w:sz w:val="18"/>
              </w:rPr>
              <w:t>[Counts by evidence type]</w:t>
            </w:r>
          </w:p>
        </w:tc>
      </w:tr>
      <w:tr>
        <w:tc>
          <w:tcPr>
            <w:tcW w:type="dxa" w:w="4680"/>
          </w:tcPr>
          <w:p>
            <w:pPr>
              <w:spacing w:line="252" w:lineRule="auto" w:after="40"/>
            </w:pPr>
            <w:r>
              <w:rPr>
                <w:rFonts w:ascii="Times New Roman" w:hAnsi="Times New Roman"/>
                <w:sz w:val="18"/>
              </w:rPr>
              <w:t>Data extraction</w:t>
            </w:r>
          </w:p>
        </w:tc>
        <w:tc>
          <w:tcPr>
            <w:tcW w:type="dxa" w:w="4680"/>
          </w:tcPr>
          <w:p>
            <w:pPr>
              <w:spacing w:line="252" w:lineRule="auto" w:after="40"/>
            </w:pPr>
            <w:r>
              <w:rPr>
                <w:rFonts w:ascii="Times New Roman" w:hAnsi="Times New Roman"/>
                <w:sz w:val="18"/>
              </w:rPr>
              <w:t>[Fields, form, and verification]</w:t>
            </w:r>
          </w:p>
        </w:tc>
      </w:tr>
      <w:tr>
        <w:tc>
          <w:tcPr>
            <w:tcW w:type="dxa" w:w="4680"/>
          </w:tcPr>
          <w:p>
            <w:pPr>
              <w:spacing w:line="252" w:lineRule="auto" w:after="40"/>
            </w:pPr>
            <w:r>
              <w:rPr>
                <w:rFonts w:ascii="Times New Roman" w:hAnsi="Times New Roman"/>
                <w:sz w:val="18"/>
              </w:rPr>
              <w:t>Synthesis</w:t>
            </w:r>
          </w:p>
        </w:tc>
        <w:tc>
          <w:tcPr>
            <w:tcW w:type="dxa" w:w="4680"/>
          </w:tcPr>
          <w:p>
            <w:pPr>
              <w:spacing w:line="252" w:lineRule="auto" w:after="40"/>
            </w:pPr>
            <w:r>
              <w:rPr>
                <w:rFonts w:ascii="Times New Roman" w:hAnsi="Times New Roman"/>
                <w:sz w:val="18"/>
              </w:rPr>
              <w:t>[Thematic grouping and disagreement handling]</w:t>
            </w:r>
          </w:p>
        </w:tc>
      </w:tr>
    </w:tbl>
    <w:p/>
    <w:p>
      <w:pPr>
        <w:pStyle w:val="Heading2"/>
      </w:pPr>
      <w:r>
        <w:t>3.3 Extraction and synthesis plan</w:t>
      </w:r>
    </w:p>
    <w:p>
      <w:pPr>
        <w:spacing w:line="480" w:lineRule="auto"/>
      </w:pPr>
      <w:r>
        <w:t>For each study extract year, jurisdiction and language, contract genre, source, sample size and unit, label source, annotation process, task, model, baseline, split, metrics, uncertainty, error analysis, external validation, limitations, and data/code availability. For governance sources record body, version, scope, and whether guidance is binding or voluntary in the relevant setting. Mark unreported fields as unreported rather than infer them.</w:t>
      </w:r>
    </w:p>
    <w:p>
      <w:pPr>
        <w:spacing w:line="480" w:lineRule="auto"/>
      </w:pPr>
      <w:r>
        <w:t>Synthesize by task, comparing methods only when tasks and data are sufficiently similar. Distinguish measured results from author interpretation and this review’s recommendations. If no meta-analysis is done, explain why pooling is inappropriate. Keep an audit trail of search files, screening, and extraction corrections.</w:t>
      </w:r>
    </w:p>
    <w:p>
      <w:pPr>
        <w:pStyle w:val="Heading1"/>
      </w:pPr>
      <w:r>
        <w:t>4. Taxonomy of contract risk</w:t>
      </w:r>
    </w:p>
    <w:p>
      <w:pPr>
        <w:spacing w:line="480" w:lineRule="auto"/>
      </w:pPr>
      <w:r>
        <w:t>The following taxonomy is a proposed scaffold, not a universal ontology and not a claim that every contract should be scored in every category. Adapt it with legal, procurement, security, privacy, finance, and operational stakeholders. The unit may be a clause, linked provisions, an agreement, or a portfolio. Multi-label representation is often appropriate because one provision can create several exposures.</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D9E6F2"/>
          </w:tcPr>
          <w:p>
            <w:pPr>
              <w:spacing w:line="252" w:lineRule="auto" w:after="40"/>
            </w:pPr>
            <w:r>
              <w:rPr>
                <w:rFonts w:ascii="Times New Roman" w:hAnsi="Times New Roman"/>
                <w:sz w:val="18"/>
              </w:rPr>
              <w:t>Risk family</w:t>
            </w:r>
          </w:p>
        </w:tc>
        <w:tc>
          <w:tcPr>
            <w:tcW w:type="dxa" w:w="3120"/>
            <w:shd w:fill="D9E6F2"/>
          </w:tcPr>
          <w:p>
            <w:pPr>
              <w:spacing w:line="252" w:lineRule="auto" w:after="40"/>
            </w:pPr>
            <w:r>
              <w:rPr>
                <w:rFonts w:ascii="Times New Roman" w:hAnsi="Times New Roman"/>
                <w:sz w:val="18"/>
              </w:rPr>
              <w:t>Illustrative review questions</w:t>
            </w:r>
          </w:p>
        </w:tc>
        <w:tc>
          <w:tcPr>
            <w:tcW w:type="dxa" w:w="3120"/>
            <w:shd w:fill="D9E6F2"/>
          </w:tcPr>
          <w:p>
            <w:pPr>
              <w:spacing w:line="252" w:lineRule="auto" w:after="40"/>
            </w:pPr>
            <w:r>
              <w:rPr>
                <w:rFonts w:ascii="Times New Roman" w:hAnsi="Times New Roman"/>
                <w:sz w:val="18"/>
              </w:rPr>
              <w:t>Signals and context</w:t>
            </w:r>
          </w:p>
        </w:tc>
      </w:tr>
      <w:tr>
        <w:tc>
          <w:tcPr>
            <w:tcW w:type="dxa" w:w="3120"/>
          </w:tcPr>
          <w:p>
            <w:pPr>
              <w:spacing w:line="252" w:lineRule="auto" w:after="40"/>
            </w:pPr>
            <w:r>
              <w:rPr>
                <w:rFonts w:ascii="Times New Roman" w:hAnsi="Times New Roman"/>
                <w:sz w:val="18"/>
              </w:rPr>
              <w:t>Financial and liability</w:t>
            </w:r>
          </w:p>
        </w:tc>
        <w:tc>
          <w:tcPr>
            <w:tcW w:type="dxa" w:w="3120"/>
          </w:tcPr>
          <w:p>
            <w:pPr>
              <w:spacing w:line="252" w:lineRule="auto" w:after="40"/>
            </w:pPr>
            <w:r>
              <w:rPr>
                <w:rFonts w:ascii="Times New Roman" w:hAnsi="Times New Roman"/>
                <w:sz w:val="18"/>
              </w:rPr>
              <w:t>Are caps, indemnities, remedies, fees, and payment exposure within limits?</w:t>
            </w:r>
          </w:p>
        </w:tc>
        <w:tc>
          <w:tcPr>
            <w:tcW w:type="dxa" w:w="3120"/>
          </w:tcPr>
          <w:p>
            <w:pPr>
              <w:spacing w:line="252" w:lineRule="auto" w:after="40"/>
            </w:pPr>
            <w:r>
              <w:rPr>
                <w:rFonts w:ascii="Times New Roman" w:hAnsi="Times New Roman"/>
                <w:sz w:val="18"/>
              </w:rPr>
              <w:t>Cap amount/scope; carve-outs; trigger; insurance; contract value.</w:t>
            </w:r>
          </w:p>
        </w:tc>
      </w:tr>
      <w:tr>
        <w:tc>
          <w:tcPr>
            <w:tcW w:type="dxa" w:w="3120"/>
          </w:tcPr>
          <w:p>
            <w:pPr>
              <w:spacing w:line="252" w:lineRule="auto" w:after="40"/>
            </w:pPr>
            <w:r>
              <w:rPr>
                <w:rFonts w:ascii="Times New Roman" w:hAnsi="Times New Roman"/>
                <w:sz w:val="18"/>
              </w:rPr>
              <w:t>Operational and performance</w:t>
            </w:r>
          </w:p>
        </w:tc>
        <w:tc>
          <w:tcPr>
            <w:tcW w:type="dxa" w:w="3120"/>
          </w:tcPr>
          <w:p>
            <w:pPr>
              <w:spacing w:line="252" w:lineRule="auto" w:after="40"/>
            </w:pPr>
            <w:r>
              <w:rPr>
                <w:rFonts w:ascii="Times New Roman" w:hAnsi="Times New Roman"/>
                <w:sz w:val="18"/>
              </w:rPr>
              <w:t>Are service levels, acceptance, support, audit, and continuity workable?</w:t>
            </w:r>
          </w:p>
        </w:tc>
        <w:tc>
          <w:tcPr>
            <w:tcW w:type="dxa" w:w="3120"/>
          </w:tcPr>
          <w:p>
            <w:pPr>
              <w:spacing w:line="252" w:lineRule="auto" w:after="40"/>
            </w:pPr>
            <w:r>
              <w:rPr>
                <w:rFonts w:ascii="Times New Roman" w:hAnsi="Times New Roman"/>
                <w:sz w:val="18"/>
              </w:rPr>
              <w:t>Thresholds; notice/cure; credits; dependencies; recovery.</w:t>
            </w:r>
          </w:p>
        </w:tc>
      </w:tr>
      <w:tr>
        <w:tc>
          <w:tcPr>
            <w:tcW w:type="dxa" w:w="3120"/>
          </w:tcPr>
          <w:p>
            <w:pPr>
              <w:spacing w:line="252" w:lineRule="auto" w:after="40"/>
            </w:pPr>
            <w:r>
              <w:rPr>
                <w:rFonts w:ascii="Times New Roman" w:hAnsi="Times New Roman"/>
                <w:sz w:val="18"/>
              </w:rPr>
              <w:t>Termination and continuity</w:t>
            </w:r>
          </w:p>
        </w:tc>
        <w:tc>
          <w:tcPr>
            <w:tcW w:type="dxa" w:w="3120"/>
          </w:tcPr>
          <w:p>
            <w:pPr>
              <w:spacing w:line="252" w:lineRule="auto" w:after="40"/>
            </w:pPr>
            <w:r>
              <w:rPr>
                <w:rFonts w:ascii="Times New Roman" w:hAnsi="Times New Roman"/>
                <w:sz w:val="18"/>
              </w:rPr>
              <w:t>Can a party exit or transition on workable terms?</w:t>
            </w:r>
          </w:p>
        </w:tc>
        <w:tc>
          <w:tcPr>
            <w:tcW w:type="dxa" w:w="3120"/>
          </w:tcPr>
          <w:p>
            <w:pPr>
              <w:spacing w:line="252" w:lineRule="auto" w:after="40"/>
            </w:pPr>
            <w:r>
              <w:rPr>
                <w:rFonts w:ascii="Times New Roman" w:hAnsi="Times New Roman"/>
                <w:sz w:val="18"/>
              </w:rPr>
              <w:t>Triggers; convenience; cure period; renewal; transition; deletion.</w:t>
            </w:r>
          </w:p>
        </w:tc>
      </w:tr>
      <w:tr>
        <w:tc>
          <w:tcPr>
            <w:tcW w:type="dxa" w:w="3120"/>
          </w:tcPr>
          <w:p>
            <w:pPr>
              <w:spacing w:line="252" w:lineRule="auto" w:after="40"/>
            </w:pPr>
            <w:r>
              <w:rPr>
                <w:rFonts w:ascii="Times New Roman" w:hAnsi="Times New Roman"/>
                <w:sz w:val="18"/>
              </w:rPr>
              <w:t>Legal and regulatory</w:t>
            </w:r>
          </w:p>
        </w:tc>
        <w:tc>
          <w:tcPr>
            <w:tcW w:type="dxa" w:w="3120"/>
          </w:tcPr>
          <w:p>
            <w:pPr>
              <w:spacing w:line="252" w:lineRule="auto" w:after="40"/>
            </w:pPr>
            <w:r>
              <w:rPr>
                <w:rFonts w:ascii="Times New Roman" w:hAnsi="Times New Roman"/>
                <w:sz w:val="18"/>
              </w:rPr>
              <w:t>Do obligations, warranties, audits, or flow-down duties need specialist review?</w:t>
            </w:r>
          </w:p>
        </w:tc>
        <w:tc>
          <w:tcPr>
            <w:tcW w:type="dxa" w:w="3120"/>
          </w:tcPr>
          <w:p>
            <w:pPr>
              <w:spacing w:line="252" w:lineRule="auto" w:after="40"/>
            </w:pPr>
            <w:r>
              <w:rPr>
                <w:rFonts w:ascii="Times New Roman" w:hAnsi="Times New Roman"/>
                <w:sz w:val="18"/>
              </w:rPr>
              <w:t>Jurisdiction; regulated activity; policy; applicable standards.</w:t>
            </w:r>
          </w:p>
        </w:tc>
      </w:tr>
      <w:tr>
        <w:tc>
          <w:tcPr>
            <w:tcW w:type="dxa" w:w="3120"/>
          </w:tcPr>
          <w:p>
            <w:pPr>
              <w:spacing w:line="252" w:lineRule="auto" w:after="40"/>
            </w:pPr>
            <w:r>
              <w:rPr>
                <w:rFonts w:ascii="Times New Roman" w:hAnsi="Times New Roman"/>
                <w:sz w:val="18"/>
              </w:rPr>
              <w:t>Privacy and security</w:t>
            </w:r>
          </w:p>
        </w:tc>
        <w:tc>
          <w:tcPr>
            <w:tcW w:type="dxa" w:w="3120"/>
          </w:tcPr>
          <w:p>
            <w:pPr>
              <w:spacing w:line="252" w:lineRule="auto" w:after="40"/>
            </w:pPr>
            <w:r>
              <w:rPr>
                <w:rFonts w:ascii="Times New Roman" w:hAnsi="Times New Roman"/>
                <w:sz w:val="18"/>
              </w:rPr>
              <w:t>Are roles, purpose, safeguards, incident and transfer terms defined?</w:t>
            </w:r>
          </w:p>
        </w:tc>
        <w:tc>
          <w:tcPr>
            <w:tcW w:type="dxa" w:w="3120"/>
          </w:tcPr>
          <w:p>
            <w:pPr>
              <w:spacing w:line="252" w:lineRule="auto" w:after="40"/>
            </w:pPr>
            <w:r>
              <w:rPr>
                <w:rFonts w:ascii="Times New Roman" w:hAnsi="Times New Roman"/>
                <w:sz w:val="18"/>
              </w:rPr>
              <w:t>Data; locations; subprocessors; notice; retention; safeguards.</w:t>
            </w:r>
          </w:p>
        </w:tc>
      </w:tr>
      <w:tr>
        <w:tc>
          <w:tcPr>
            <w:tcW w:type="dxa" w:w="3120"/>
          </w:tcPr>
          <w:p>
            <w:pPr>
              <w:spacing w:line="252" w:lineRule="auto" w:after="40"/>
            </w:pPr>
            <w:r>
              <w:rPr>
                <w:rFonts w:ascii="Times New Roman" w:hAnsi="Times New Roman"/>
                <w:sz w:val="18"/>
              </w:rPr>
              <w:t>Intellectual property</w:t>
            </w:r>
          </w:p>
        </w:tc>
        <w:tc>
          <w:tcPr>
            <w:tcW w:type="dxa" w:w="3120"/>
          </w:tcPr>
          <w:p>
            <w:pPr>
              <w:spacing w:line="252" w:lineRule="auto" w:after="40"/>
            </w:pPr>
            <w:r>
              <w:rPr>
                <w:rFonts w:ascii="Times New Roman" w:hAnsi="Times New Roman"/>
                <w:sz w:val="18"/>
              </w:rPr>
              <w:t>Are ownership, licenses, outputs, and infringement remedies clear?</w:t>
            </w:r>
          </w:p>
        </w:tc>
        <w:tc>
          <w:tcPr>
            <w:tcW w:type="dxa" w:w="3120"/>
          </w:tcPr>
          <w:p>
            <w:pPr>
              <w:spacing w:line="252" w:lineRule="auto" w:after="40"/>
            </w:pPr>
            <w:r>
              <w:rPr>
                <w:rFonts w:ascii="Times New Roman" w:hAnsi="Times New Roman"/>
                <w:sz w:val="18"/>
              </w:rPr>
              <w:t>Background IP; deliverables; scope; sublicensing; third-party rights.</w:t>
            </w:r>
          </w:p>
        </w:tc>
      </w:tr>
      <w:tr>
        <w:tc>
          <w:tcPr>
            <w:tcW w:type="dxa" w:w="3120"/>
          </w:tcPr>
          <w:p>
            <w:pPr>
              <w:spacing w:line="252" w:lineRule="auto" w:after="40"/>
            </w:pPr>
            <w:r>
              <w:rPr>
                <w:rFonts w:ascii="Times New Roman" w:hAnsi="Times New Roman"/>
                <w:sz w:val="18"/>
              </w:rPr>
              <w:t>Temporal and change</w:t>
            </w:r>
          </w:p>
        </w:tc>
        <w:tc>
          <w:tcPr>
            <w:tcW w:type="dxa" w:w="3120"/>
          </w:tcPr>
          <w:p>
            <w:pPr>
              <w:spacing w:line="252" w:lineRule="auto" w:after="40"/>
            </w:pPr>
            <w:r>
              <w:rPr>
                <w:rFonts w:ascii="Times New Roman" w:hAnsi="Times New Roman"/>
                <w:sz w:val="18"/>
              </w:rPr>
              <w:t>Do notice, survival, renewal, price, and amendment mechanics create exposure?</w:t>
            </w:r>
          </w:p>
        </w:tc>
        <w:tc>
          <w:tcPr>
            <w:tcW w:type="dxa" w:w="3120"/>
          </w:tcPr>
          <w:p>
            <w:pPr>
              <w:spacing w:line="252" w:lineRule="auto" w:after="40"/>
            </w:pPr>
            <w:r>
              <w:rPr>
                <w:rFonts w:ascii="Times New Roman" w:hAnsi="Times New Roman"/>
                <w:sz w:val="18"/>
              </w:rPr>
              <w:t>Dates; notice windows; renewal; unilateral change; precedence.</w:t>
            </w:r>
          </w:p>
        </w:tc>
      </w:tr>
      <w:tr>
        <w:tc>
          <w:tcPr>
            <w:tcW w:type="dxa" w:w="3120"/>
          </w:tcPr>
          <w:p>
            <w:pPr>
              <w:spacing w:line="252" w:lineRule="auto" w:after="40"/>
            </w:pPr>
            <w:r>
              <w:rPr>
                <w:rFonts w:ascii="Times New Roman" w:hAnsi="Times New Roman"/>
                <w:sz w:val="18"/>
              </w:rPr>
              <w:t>Governance and discretion</w:t>
            </w:r>
          </w:p>
        </w:tc>
        <w:tc>
          <w:tcPr>
            <w:tcW w:type="dxa" w:w="3120"/>
          </w:tcPr>
          <w:p>
            <w:pPr>
              <w:spacing w:line="252" w:lineRule="auto" w:after="40"/>
            </w:pPr>
            <w:r>
              <w:rPr>
                <w:rFonts w:ascii="Times New Roman" w:hAnsi="Times New Roman"/>
                <w:sz w:val="18"/>
              </w:rPr>
              <w:t>Can a party change standards, subcontract, or use data without controls?</w:t>
            </w:r>
          </w:p>
        </w:tc>
        <w:tc>
          <w:tcPr>
            <w:tcW w:type="dxa" w:w="3120"/>
          </w:tcPr>
          <w:p>
            <w:pPr>
              <w:spacing w:line="252" w:lineRule="auto" w:after="40"/>
            </w:pPr>
            <w:r>
              <w:rPr>
                <w:rFonts w:ascii="Times New Roman" w:hAnsi="Times New Roman"/>
                <w:sz w:val="18"/>
              </w:rPr>
              <w:t>Consent; delegation; policy incorporation; audit and approval.</w:t>
            </w:r>
          </w:p>
        </w:tc>
      </w:tr>
      <w:tr>
        <w:tc>
          <w:tcPr>
            <w:tcW w:type="dxa" w:w="3120"/>
          </w:tcPr>
          <w:p>
            <w:pPr>
              <w:spacing w:line="252" w:lineRule="auto" w:after="40"/>
            </w:pPr>
            <w:r>
              <w:rPr>
                <w:rFonts w:ascii="Times New Roman" w:hAnsi="Times New Roman"/>
                <w:sz w:val="18"/>
              </w:rPr>
              <w:t>Structural and interpretive</w:t>
            </w:r>
          </w:p>
        </w:tc>
        <w:tc>
          <w:tcPr>
            <w:tcW w:type="dxa" w:w="3120"/>
          </w:tcPr>
          <w:p>
            <w:pPr>
              <w:spacing w:line="252" w:lineRule="auto" w:after="40"/>
            </w:pPr>
            <w:r>
              <w:rPr>
                <w:rFonts w:ascii="Times New Roman" w:hAnsi="Times New Roman"/>
                <w:sz w:val="18"/>
              </w:rPr>
              <w:t>Do references, definitions, precedence, or omissions impair interpretation?</w:t>
            </w:r>
          </w:p>
        </w:tc>
        <w:tc>
          <w:tcPr>
            <w:tcW w:type="dxa" w:w="3120"/>
          </w:tcPr>
          <w:p>
            <w:pPr>
              <w:spacing w:line="252" w:lineRule="auto" w:after="40"/>
            </w:pPr>
            <w:r>
              <w:rPr>
                <w:rFonts w:ascii="Times New Roman" w:hAnsi="Times New Roman"/>
                <w:sz w:val="18"/>
              </w:rPr>
              <w:t>Undefined terms; missing exhibits; conflicts; amendments; exceptions.</w:t>
            </w:r>
          </w:p>
        </w:tc>
      </w:tr>
    </w:tbl>
    <w:p/>
    <w:p>
      <w:pPr>
        <w:pStyle w:val="Heading2"/>
      </w:pPr>
      <w:r>
        <w:t>4.1 Financial and liability exposure</w:t>
      </w:r>
    </w:p>
    <w:p>
      <w:pPr>
        <w:spacing w:line="480" w:lineRule="auto"/>
      </w:pPr>
      <w:r>
        <w:t>Financial review includes payment timing, adjustment, taxes, credits, indemnification, caps, exclusions, damages, and remedies. Models can extract amounts, currencies, durations, parties, and nearby language. The difficulty is compositional: a cap may apply to selected claims; indemnities may sit outside it; exclusions may restore exposure; and different caps may apply by service or time period. Display linked passages and extracted arithmetic inputs rather than reduce them to a binary high-risk label.</w:t>
      </w:r>
    </w:p>
    <w:p>
      <w:pPr>
        <w:spacing w:line="480" w:lineRule="auto"/>
      </w:pPr>
      <w:r>
        <w:t>The comparator should be versioned and transaction-specific. A playbook might set a preferred cap formula or route uncapped exposure to counsel. It needs an owner, effective date, and jurisdiction or business-unit scope. Correct extraction compared with a stale or mismatched rule can still create a false alert. Expose the rule that fired and permit documented exceptions.</w:t>
      </w:r>
    </w:p>
    <w:p>
      <w:pPr>
        <w:pStyle w:val="Heading2"/>
      </w:pPr>
      <w:r>
        <w:t>4.2 Operational, termination, and temporal exposure</w:t>
      </w:r>
    </w:p>
    <w:p>
      <w:pPr>
        <w:spacing w:line="480" w:lineRule="auto"/>
      </w:pPr>
      <w:r>
        <w:t>Operational clauses translate promises into service levels, acceptance criteria, dependencies, audit access, continuity, credits, and transition help. A numeric threshold is easier to extract than to judge adequate. Adequacy depends on service criticality, architecture, recovery objectives, supplier capacity, and internal controls. Link evidence to service-owner review rather than treating a copied benchmark as proof of feasibility.</w:t>
      </w:r>
    </w:p>
    <w:p>
      <w:pPr>
        <w:spacing w:line="480" w:lineRule="auto"/>
      </w:pPr>
      <w:r>
        <w:t>Termination and change mechanics create time-dependent exposure. Notice may be sent to a specified address within a narrow window; renewal may extend a commitment; a price change may take effect without express consent. Date extraction and reminder generation can reduce administrative misses, but depend on identifying the operative document and amendment chain. Human confirmation and an audit log are appropriate before downstream calendar actions.</w:t>
      </w:r>
    </w:p>
    <w:p>
      <w:pPr>
        <w:pStyle w:val="Heading2"/>
      </w:pPr>
      <w:r>
        <w:t>4.3 Legal, regulatory, privacy, and security exposure</w:t>
      </w:r>
    </w:p>
    <w:p>
      <w:pPr>
        <w:spacing w:line="480" w:lineRule="auto"/>
      </w:pPr>
      <w:r>
        <w:t>Compliance language ranges from general promises to specific representations, certifications, audit access, and flow-down duties. Determining whether a clause satisfies a legal obligation requires jurisdictional and factual analysis beyond text classification. A system can route provisions to specialists, capture named standards, and surface missing schedules. It should not infer compliance merely because a term appears.</w:t>
      </w:r>
    </w:p>
    <w:p>
      <w:pPr>
        <w:spacing w:line="480" w:lineRule="auto"/>
      </w:pPr>
      <w:r>
        <w:t>Privacy and security review depends on actual processing and data flows. Agreements may name roles, purposes, retention, incident notice, subprocessors, international transfers, and safeguards. Extraction must be checked against architecture and operations. Security promises may point to external attachments or policies, so version tracking and completeness checks matter as much as model quality.</w:t>
      </w:r>
    </w:p>
    <w:p>
      <w:pPr>
        <w:pStyle w:val="Heading2"/>
      </w:pPr>
      <w:r>
        <w:t>4.4 Intellectual property and structural exposure</w:t>
      </w:r>
    </w:p>
    <w:p>
      <w:pPr>
        <w:spacing w:line="480" w:lineRule="auto"/>
      </w:pPr>
      <w:r>
        <w:t>IP provisions distinguish background materials, deliverables, configurations, feedback, data, models, and derived outputs. Similar words can carry different rights depending on defined terms, assignment, license scope, and exclusions. Link these provisions to service descriptions and statements of work. Review whether intended use is covered, sublicensing is permitted, and ownership conflicts with third-party or open-source obligations.</w:t>
      </w:r>
    </w:p>
    <w:p>
      <w:pPr>
        <w:spacing w:line="480" w:lineRule="auto"/>
      </w:pPr>
      <w:r>
        <w:t>Undefined capitalized terms, inconsistent party names, obsolete references, conflicting precedence rules, missing exhibits, and superseded versions complicate interpretation. Document intelligence should include structural checks and provenance management, not only semantics. Some checks can be deterministic and high precision; others require review of the complete agreement and execution history.</w:t>
      </w:r>
    </w:p>
    <w:p>
      <w:pPr>
        <w:pStyle w:val="Heading2"/>
      </w:pPr>
      <w:r>
        <w:t>4.5 Severity, likelihood, and uncertainty</w:t>
      </w:r>
    </w:p>
    <w:p>
      <w:pPr>
        <w:spacing w:line="480" w:lineRule="auto"/>
      </w:pPr>
      <w:r>
        <w:t>Severity and likelihood should remain separate and use documented criteria. Severity could reflect exposure, business criticality, data, or regulatory consequence. Likelihood may depend on operating conditions not stated in the agreement. Neither is always inferable from text. A text model should estimate task confidence (for example, confidence a clause was found); an authorized reviewer or separately governed process assesses exposure and likelihood.</w:t>
      </w:r>
    </w:p>
    <w:p>
      <w:pPr>
        <w:spacing w:line="480" w:lineRule="auto"/>
      </w:pPr>
      <w:r>
        <w:t>Uncertainty can arise from OCR, incomplete files, ambiguity, novelty, conflicting clauses, rare labels, or absent context. Show these conditions, route uncertain cases, and permit abstention. “Cannot determine from available text” can be safer than a confident unsupported label.</w:t>
      </w:r>
    </w:p>
    <w:p>
      <w:pPr>
        <w:pStyle w:val="Heading1"/>
      </w:pPr>
      <w:r>
        <w:t>5. Technical approaches</w:t>
      </w:r>
    </w:p>
    <w:p>
      <w:pPr>
        <w:pStyle w:val="Heading2"/>
      </w:pPr>
      <w:r>
        <w:t>5.1 Ingestion and structure recovery</w:t>
      </w:r>
    </w:p>
    <w:p>
      <w:pPr>
        <w:spacing w:line="480" w:lineRule="auto"/>
      </w:pPr>
      <w:r>
        <w:t>Contracts arrive as native PDFs, word-processing files, scans, emails, and system exports. Preserve the original, compute a stable identifier, record source and version, and extract text with page coordinates. OCR should include quality indicators. Tables, headers, columns, signature blocks, and marginal notes can carry meaning, so conversion should retain layout cues and let reviewers inspect the render. Check extracted page count and text coverage against the source.</w:t>
      </w:r>
    </w:p>
    <w:p>
      <w:pPr>
        <w:spacing w:line="480" w:lineRule="auto"/>
      </w:pPr>
      <w:r>
        <w:t>Segmentation should recognize headings, clause numbers, subclauses, exhibits, schedules, and amendment markers. Fixed-length chunks can separate definitions from their uses. Structure-aware chunks preserve local context and link related sections. Overlap can reduce boundary misses but duplicates evidence; retrieval may omit relevant sections; long-context input can raise cost without resolving contradictions. Every output needs page-and-span provenance.</w:t>
      </w:r>
    </w:p>
    <w:p>
      <w:pPr>
        <w:pStyle w:val="Heading2"/>
      </w:pPr>
      <w:r>
        <w:t>5.2 Rules and classical machine learning</w:t>
      </w:r>
    </w:p>
    <w:p>
      <w:pPr>
        <w:spacing w:line="480" w:lineRule="auto"/>
      </w:pPr>
      <w:r>
        <w:t>Dictionaries, regular expressions, and deterministic rules remain useful for stable signals such as date formats, amounts, defined terms, or policy-specific expressions. Their weaknesses include synonym variation, negation, context, and maintenance. A transparent rule may still be brittle. Use rules for known policy checks and formats, with tests, versioning, and explicit scope.</w:t>
      </w:r>
    </w:p>
    <w:p>
      <w:pPr>
        <w:spacing w:line="480" w:lineRule="auto"/>
      </w:pPr>
      <w:r>
        <w:t>Classical supervised models can use TF-IDF n-grams with linear classifiers, support vector machines, or trees. They are efficient baselines and offer inspectable lexical signals. Their limitations include label demand, sparse patterns, and weak compositional or long-distance modeling. Baselines reveal whether complexity adds value and can expose leakage or label shortcuts.</w:t>
      </w:r>
    </w:p>
    <w:p>
      <w:pPr>
        <w:pStyle w:val="Heading2"/>
      </w:pPr>
      <w:r>
        <w:t>5.3 Neural and transformer methods</w:t>
      </w:r>
    </w:p>
    <w:p>
      <w:pPr>
        <w:spacing w:line="480" w:lineRule="auto"/>
      </w:pPr>
      <w:r>
        <w:t>Neural sequence models and transformer encoders represent contextual language and can support classification, span extraction, and question answering. LEGAL-BERT illustrates legal-domain adaptation (Chalkidis et al., 2020). Domain adaptation can help vocabulary but does not assure fit to jurisdiction, document type, or time. Target validation, compute, privacy, and model-update practices remain relevant.</w:t>
      </w:r>
    </w:p>
    <w:p>
      <w:pPr>
        <w:spacing w:line="480" w:lineRule="auto"/>
      </w:pPr>
      <w:r>
        <w:t>Encoder context limits create challenges for full agreements. Hierarchical encoders, sliding windows, sparse attention, retrieval, and chunk aggregation are alternatives. Each has trade-offs: overlap duplicates evidence; aggregation can obscure interaction; retrieval can omit a section; long-context systems cost more and can still miss exceptions. Cross-reference-aware representations remain challenging.</w:t>
      </w:r>
    </w:p>
    <w:p>
      <w:pPr>
        <w:pStyle w:val="Heading2"/>
      </w:pPr>
      <w:r>
        <w:t>5.4 Generative models and retrieval augmentation</w:t>
      </w:r>
    </w:p>
    <w:p>
      <w:pPr>
        <w:spacing w:line="480" w:lineRule="auto"/>
      </w:pPr>
      <w:r>
        <w:t>Generative language models can answer questions, summarize, compare clauses with a playbook, and draft explanations. They can also state unsupported claims, omit exceptions, or conflate contract text with general knowledge. Fluency is not evidence of reliability. Constrain outputs to retrieved contract and approved policy passages, require precise citations, validate structured fields, and provide abstention and escalation.</w:t>
      </w:r>
    </w:p>
    <w:p>
      <w:pPr>
        <w:spacing w:line="480" w:lineRule="auto"/>
      </w:pPr>
      <w:r>
        <w:t>Retrieval-augmented generation retrieves agreement passages and controlled knowledge before generating. Traceability improves only if retrieval is complete and citations are checked. A relevant citation may still fail to support the conclusion. Evaluate recall, citation correctness, faithfulness, and reviewer utility separately. Policy sources need owners, versions, scope, and access controls.</w:t>
      </w:r>
    </w:p>
    <w:p>
      <w:pPr>
        <w:spacing w:line="480" w:lineRule="auto"/>
      </w:pPr>
      <w:r>
        <w:t>Record prompts, model versions, retrieval indexes, settings, and post-processing. Treat contract text as untrusted content, not an instruction to the system. Isolate content from control, limit access, and validate actions before changing a contract record. Sensitive agreements may require private infrastructure, contractual safeguards, or local processing.</w:t>
      </w:r>
    </w:p>
    <w:p>
      <w:pPr>
        <w:pStyle w:val="Heading2"/>
      </w:pPr>
      <w:r>
        <w:t>5.5 Hybrid systems and knowledge representation</w:t>
      </w:r>
    </w:p>
    <w:p>
      <w:pPr>
        <w:spacing w:line="480" w:lineRule="auto"/>
      </w:pPr>
      <w:r>
        <w:t>A hybrid pipeline can combine deterministic extraction, learned classification, retrieval, and policy rules. A parser identifies parties and sections; a classifier finds an indemnity; relation extraction links it to a cap; a policy engine checks a threshold; and the interface displays evidence for review. Independent components make validation and change control easier, though integration and error propagation need attention.</w:t>
      </w:r>
    </w:p>
    <w:p>
      <w:pPr>
        <w:spacing w:line="480" w:lineRule="auto"/>
      </w:pPr>
      <w:r>
        <w:t>A contract representation can link entities, obligations, rights, conditions, periods, exceptions, and references. Typed relations can capture that a party owes an action under a trigger, subject to a remedy or limitation elsewhere. Such graphs support cross-clause questions, but ontology design and annotation are expensive and extraction errors propagate. Attach provenance and confidence to every relation.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shd w:fill="D9E6F2"/>
          </w:tcPr>
          <w:p>
            <w:pPr>
              <w:spacing w:line="252" w:lineRule="auto" w:after="40"/>
            </w:pPr>
            <w:r>
              <w:rPr>
                <w:rFonts w:ascii="Times New Roman" w:hAnsi="Times New Roman"/>
                <w:sz w:val="18"/>
              </w:rPr>
              <w:t>Approach</w:t>
            </w:r>
          </w:p>
        </w:tc>
        <w:tc>
          <w:tcPr>
            <w:tcW w:type="dxa" w:w="2340"/>
            <w:shd w:fill="D9E6F2"/>
          </w:tcPr>
          <w:p>
            <w:pPr>
              <w:spacing w:line="252" w:lineRule="auto" w:after="40"/>
            </w:pPr>
            <w:r>
              <w:rPr>
                <w:rFonts w:ascii="Times New Roman" w:hAnsi="Times New Roman"/>
                <w:sz w:val="18"/>
              </w:rPr>
              <w:t>Strengths</w:t>
            </w:r>
          </w:p>
        </w:tc>
        <w:tc>
          <w:tcPr>
            <w:tcW w:type="dxa" w:w="2340"/>
            <w:shd w:fill="D9E6F2"/>
          </w:tcPr>
          <w:p>
            <w:pPr>
              <w:spacing w:line="252" w:lineRule="auto" w:after="40"/>
            </w:pPr>
            <w:r>
              <w:rPr>
                <w:rFonts w:ascii="Times New Roman" w:hAnsi="Times New Roman"/>
                <w:sz w:val="18"/>
              </w:rPr>
              <w:t>Limits</w:t>
            </w:r>
          </w:p>
        </w:tc>
        <w:tc>
          <w:tcPr>
            <w:tcW w:type="dxa" w:w="2340"/>
            <w:shd w:fill="D9E6F2"/>
          </w:tcPr>
          <w:p>
            <w:pPr>
              <w:spacing w:line="252" w:lineRule="auto" w:after="40"/>
            </w:pPr>
            <w:r>
              <w:rPr>
                <w:rFonts w:ascii="Times New Roman" w:hAnsi="Times New Roman"/>
                <w:sz w:val="18"/>
              </w:rPr>
              <w:t>Useful fit</w:t>
            </w:r>
          </w:p>
        </w:tc>
      </w:tr>
      <w:tr>
        <w:tc>
          <w:tcPr>
            <w:tcW w:type="dxa" w:w="2340"/>
          </w:tcPr>
          <w:p>
            <w:pPr>
              <w:spacing w:line="252" w:lineRule="auto" w:after="40"/>
            </w:pPr>
            <w:r>
              <w:rPr>
                <w:rFonts w:ascii="Times New Roman" w:hAnsi="Times New Roman"/>
                <w:sz w:val="18"/>
              </w:rPr>
              <w:t>Rules and patterns</w:t>
            </w:r>
          </w:p>
        </w:tc>
        <w:tc>
          <w:tcPr>
            <w:tcW w:type="dxa" w:w="2340"/>
          </w:tcPr>
          <w:p>
            <w:pPr>
              <w:spacing w:line="252" w:lineRule="auto" w:after="40"/>
            </w:pPr>
            <w:r>
              <w:rPr>
                <w:rFonts w:ascii="Times New Roman" w:hAnsi="Times New Roman"/>
                <w:sz w:val="18"/>
              </w:rPr>
              <w:t>Auditable, fast, strong for explicit thresholds.</w:t>
            </w:r>
          </w:p>
        </w:tc>
        <w:tc>
          <w:tcPr>
            <w:tcW w:type="dxa" w:w="2340"/>
          </w:tcPr>
          <w:p>
            <w:pPr>
              <w:spacing w:line="252" w:lineRule="auto" w:after="40"/>
            </w:pPr>
            <w:r>
              <w:rPr>
                <w:rFonts w:ascii="Times New Roman" w:hAnsi="Times New Roman"/>
                <w:sz w:val="18"/>
              </w:rPr>
              <w:t>Brittle to paraphrase and context.</w:t>
            </w:r>
          </w:p>
        </w:tc>
        <w:tc>
          <w:tcPr>
            <w:tcW w:type="dxa" w:w="2340"/>
          </w:tcPr>
          <w:p>
            <w:pPr>
              <w:spacing w:line="252" w:lineRule="auto" w:after="40"/>
            </w:pPr>
            <w:r>
              <w:rPr>
                <w:rFonts w:ascii="Times New Roman" w:hAnsi="Times New Roman"/>
                <w:sz w:val="18"/>
              </w:rPr>
              <w:t>Known formats and policy checks.</w:t>
            </w:r>
          </w:p>
        </w:tc>
      </w:tr>
      <w:tr>
        <w:tc>
          <w:tcPr>
            <w:tcW w:type="dxa" w:w="2340"/>
          </w:tcPr>
          <w:p>
            <w:pPr>
              <w:spacing w:line="252" w:lineRule="auto" w:after="40"/>
            </w:pPr>
            <w:r>
              <w:rPr>
                <w:rFonts w:ascii="Times New Roman" w:hAnsi="Times New Roman"/>
                <w:sz w:val="18"/>
              </w:rPr>
              <w:t>Classical ML</w:t>
            </w:r>
          </w:p>
        </w:tc>
        <w:tc>
          <w:tcPr>
            <w:tcW w:type="dxa" w:w="2340"/>
          </w:tcPr>
          <w:p>
            <w:pPr>
              <w:spacing w:line="252" w:lineRule="auto" w:after="40"/>
            </w:pPr>
            <w:r>
              <w:rPr>
                <w:rFonts w:ascii="Times New Roman" w:hAnsi="Times New Roman"/>
                <w:sz w:val="18"/>
              </w:rPr>
              <w:t>Efficient baseline, modest compute.</w:t>
            </w:r>
          </w:p>
        </w:tc>
        <w:tc>
          <w:tcPr>
            <w:tcW w:type="dxa" w:w="2340"/>
          </w:tcPr>
          <w:p>
            <w:pPr>
              <w:spacing w:line="252" w:lineRule="auto" w:after="40"/>
            </w:pPr>
            <w:r>
              <w:rPr>
                <w:rFonts w:ascii="Times New Roman" w:hAnsi="Times New Roman"/>
                <w:sz w:val="18"/>
              </w:rPr>
              <w:t>Labels needed; weaker long context.</w:t>
            </w:r>
          </w:p>
        </w:tc>
        <w:tc>
          <w:tcPr>
            <w:tcW w:type="dxa" w:w="2340"/>
          </w:tcPr>
          <w:p>
            <w:pPr>
              <w:spacing w:line="252" w:lineRule="auto" w:after="40"/>
            </w:pPr>
            <w:r>
              <w:rPr>
                <w:rFonts w:ascii="Times New Roman" w:hAnsi="Times New Roman"/>
                <w:sz w:val="18"/>
              </w:rPr>
              <w:t>Bounded stable classification.</w:t>
            </w:r>
          </w:p>
        </w:tc>
      </w:tr>
      <w:tr>
        <w:tc>
          <w:tcPr>
            <w:tcW w:type="dxa" w:w="2340"/>
          </w:tcPr>
          <w:p>
            <w:pPr>
              <w:spacing w:line="252" w:lineRule="auto" w:after="40"/>
            </w:pPr>
            <w:r>
              <w:rPr>
                <w:rFonts w:ascii="Times New Roman" w:hAnsi="Times New Roman"/>
                <w:sz w:val="18"/>
              </w:rPr>
              <w:t>Transformer encoders</w:t>
            </w:r>
          </w:p>
        </w:tc>
        <w:tc>
          <w:tcPr>
            <w:tcW w:type="dxa" w:w="2340"/>
          </w:tcPr>
          <w:p>
            <w:pPr>
              <w:spacing w:line="252" w:lineRule="auto" w:after="40"/>
            </w:pPr>
            <w:r>
              <w:rPr>
                <w:rFonts w:ascii="Times New Roman" w:hAnsi="Times New Roman"/>
                <w:sz w:val="18"/>
              </w:rPr>
              <w:t>Contextual extraction and classification.</w:t>
            </w:r>
          </w:p>
        </w:tc>
        <w:tc>
          <w:tcPr>
            <w:tcW w:type="dxa" w:w="2340"/>
          </w:tcPr>
          <w:p>
            <w:pPr>
              <w:spacing w:line="252" w:lineRule="auto" w:after="40"/>
            </w:pPr>
            <w:r>
              <w:rPr>
                <w:rFonts w:ascii="Times New Roman" w:hAnsi="Times New Roman"/>
                <w:sz w:val="18"/>
              </w:rPr>
              <w:t>Domain shift, compute, context and calibration limits.</w:t>
            </w:r>
          </w:p>
        </w:tc>
        <w:tc>
          <w:tcPr>
            <w:tcW w:type="dxa" w:w="2340"/>
          </w:tcPr>
          <w:p>
            <w:pPr>
              <w:spacing w:line="252" w:lineRule="auto" w:after="40"/>
            </w:pPr>
            <w:r>
              <w:rPr>
                <w:rFonts w:ascii="Times New Roman" w:hAnsi="Times New Roman"/>
                <w:sz w:val="18"/>
              </w:rPr>
              <w:t>Candidate retrieval and span extraction.</w:t>
            </w:r>
          </w:p>
        </w:tc>
      </w:tr>
      <w:tr>
        <w:tc>
          <w:tcPr>
            <w:tcW w:type="dxa" w:w="2340"/>
          </w:tcPr>
          <w:p>
            <w:pPr>
              <w:spacing w:line="252" w:lineRule="auto" w:after="40"/>
            </w:pPr>
            <w:r>
              <w:rPr>
                <w:rFonts w:ascii="Times New Roman" w:hAnsi="Times New Roman"/>
                <w:sz w:val="18"/>
              </w:rPr>
              <w:t>Generative model + retrieval</w:t>
            </w:r>
          </w:p>
        </w:tc>
        <w:tc>
          <w:tcPr>
            <w:tcW w:type="dxa" w:w="2340"/>
          </w:tcPr>
          <w:p>
            <w:pPr>
              <w:spacing w:line="252" w:lineRule="auto" w:after="40"/>
            </w:pPr>
            <w:r>
              <w:rPr>
                <w:rFonts w:ascii="Times New Roman" w:hAnsi="Times New Roman"/>
                <w:sz w:val="18"/>
              </w:rPr>
              <w:t>Flexible question answering and summaries.</w:t>
            </w:r>
          </w:p>
        </w:tc>
        <w:tc>
          <w:tcPr>
            <w:tcW w:type="dxa" w:w="2340"/>
          </w:tcPr>
          <w:p>
            <w:pPr>
              <w:spacing w:line="252" w:lineRule="auto" w:after="40"/>
            </w:pPr>
            <w:r>
              <w:rPr>
                <w:rFonts w:ascii="Times New Roman" w:hAnsi="Times New Roman"/>
                <w:sz w:val="18"/>
              </w:rPr>
              <w:t>Unsupported text, citation errors, privacy/cost.</w:t>
            </w:r>
          </w:p>
        </w:tc>
        <w:tc>
          <w:tcPr>
            <w:tcW w:type="dxa" w:w="2340"/>
          </w:tcPr>
          <w:p>
            <w:pPr>
              <w:spacing w:line="252" w:lineRule="auto" w:after="40"/>
            </w:pPr>
            <w:r>
              <w:rPr>
                <w:rFonts w:ascii="Times New Roman" w:hAnsi="Times New Roman"/>
                <w:sz w:val="18"/>
              </w:rPr>
              <w:t>Draft evidence-linked suggestions.</w:t>
            </w:r>
          </w:p>
        </w:tc>
      </w:tr>
      <w:tr>
        <w:tc>
          <w:tcPr>
            <w:tcW w:type="dxa" w:w="2340"/>
          </w:tcPr>
          <w:p>
            <w:pPr>
              <w:spacing w:line="252" w:lineRule="auto" w:after="40"/>
            </w:pPr>
            <w:r>
              <w:rPr>
                <w:rFonts w:ascii="Times New Roman" w:hAnsi="Times New Roman"/>
                <w:sz w:val="18"/>
              </w:rPr>
              <w:t>Hybrid pipeline</w:t>
            </w:r>
          </w:p>
        </w:tc>
        <w:tc>
          <w:tcPr>
            <w:tcW w:type="dxa" w:w="2340"/>
          </w:tcPr>
          <w:p>
            <w:pPr>
              <w:spacing w:line="252" w:lineRule="auto" w:after="40"/>
            </w:pPr>
            <w:r>
              <w:rPr>
                <w:rFonts w:ascii="Times New Roman" w:hAnsi="Times New Roman"/>
                <w:sz w:val="18"/>
              </w:rPr>
              <w:t>Combines capabilities and component controls.</w:t>
            </w:r>
          </w:p>
        </w:tc>
        <w:tc>
          <w:tcPr>
            <w:tcW w:type="dxa" w:w="2340"/>
          </w:tcPr>
          <w:p>
            <w:pPr>
              <w:spacing w:line="252" w:lineRule="auto" w:after="40"/>
            </w:pPr>
            <w:r>
              <w:rPr>
                <w:rFonts w:ascii="Times New Roman" w:hAnsi="Times New Roman"/>
                <w:sz w:val="18"/>
              </w:rPr>
              <w:t>Integration complexity and correlated errors.</w:t>
            </w:r>
          </w:p>
        </w:tc>
        <w:tc>
          <w:tcPr>
            <w:tcW w:type="dxa" w:w="2340"/>
          </w:tcPr>
          <w:p>
            <w:pPr>
              <w:spacing w:line="252" w:lineRule="auto" w:after="40"/>
            </w:pPr>
            <w:r>
              <w:rPr>
                <w:rFonts w:ascii="Times New Roman" w:hAnsi="Times New Roman"/>
                <w:sz w:val="18"/>
              </w:rPr>
              <w:t>Governed high-stakes assistance.</w:t>
            </w:r>
          </w:p>
        </w:tc>
      </w:tr>
    </w:tbl>
    <w:p/>
    <w:p>
      <w:pPr>
        <w:pStyle w:val="Heading1"/>
      </w:pPr>
      <w:r>
        <w:t>6. Comparative framework for study and system assessment</w:t>
      </w:r>
    </w:p>
    <w:p>
      <w:pPr>
        <w:spacing w:line="480" w:lineRule="auto"/>
      </w:pPr>
      <w:r>
        <w:t>A fair comparison begins with the use case. Define contract population, decision point, user, review standard, and harm associated with errors. Specify unit (span, clause, document, or portfolio) and output. A clause classifier and a playbook deviation detector solve different problems; their scores are not interchangeable.</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D9E6F2"/>
          </w:tcPr>
          <w:p>
            <w:pPr>
              <w:spacing w:line="252" w:lineRule="auto" w:after="40"/>
            </w:pPr>
            <w:r>
              <w:rPr>
                <w:rFonts w:ascii="Times New Roman" w:hAnsi="Times New Roman"/>
                <w:sz w:val="18"/>
              </w:rPr>
              <w:t>Dimension</w:t>
            </w:r>
          </w:p>
        </w:tc>
        <w:tc>
          <w:tcPr>
            <w:tcW w:type="dxa" w:w="3120"/>
            <w:shd w:fill="D9E6F2"/>
          </w:tcPr>
          <w:p>
            <w:pPr>
              <w:spacing w:line="252" w:lineRule="auto" w:after="40"/>
            </w:pPr>
            <w:r>
              <w:rPr>
                <w:rFonts w:ascii="Times New Roman" w:hAnsi="Times New Roman"/>
                <w:sz w:val="18"/>
              </w:rPr>
              <w:t>Questions to record</w:t>
            </w:r>
          </w:p>
        </w:tc>
        <w:tc>
          <w:tcPr>
            <w:tcW w:type="dxa" w:w="3120"/>
            <w:shd w:fill="D9E6F2"/>
          </w:tcPr>
          <w:p>
            <w:pPr>
              <w:spacing w:line="252" w:lineRule="auto" w:after="40"/>
            </w:pPr>
            <w:r>
              <w:rPr>
                <w:rFonts w:ascii="Times New Roman" w:hAnsi="Times New Roman"/>
                <w:sz w:val="18"/>
              </w:rPr>
              <w:t>Why it matters</w:t>
            </w:r>
          </w:p>
        </w:tc>
      </w:tr>
      <w:tr>
        <w:tc>
          <w:tcPr>
            <w:tcW w:type="dxa" w:w="3120"/>
          </w:tcPr>
          <w:p>
            <w:pPr>
              <w:spacing w:line="252" w:lineRule="auto" w:after="40"/>
            </w:pPr>
            <w:r>
              <w:rPr>
                <w:rFonts w:ascii="Times New Roman" w:hAnsi="Times New Roman"/>
                <w:sz w:val="18"/>
              </w:rPr>
              <w:t>Population and provenance</w:t>
            </w:r>
          </w:p>
        </w:tc>
        <w:tc>
          <w:tcPr>
            <w:tcW w:type="dxa" w:w="3120"/>
          </w:tcPr>
          <w:p>
            <w:pPr>
              <w:spacing w:line="252" w:lineRule="auto" w:after="40"/>
            </w:pPr>
            <w:r>
              <w:rPr>
                <w:rFonts w:ascii="Times New Roman" w:hAnsi="Times New Roman"/>
                <w:sz w:val="18"/>
              </w:rPr>
              <w:t>Jurisdiction, industry, language, templates, parties?</w:t>
            </w:r>
          </w:p>
        </w:tc>
        <w:tc>
          <w:tcPr>
            <w:tcW w:type="dxa" w:w="3120"/>
          </w:tcPr>
          <w:p>
            <w:pPr>
              <w:spacing w:line="252" w:lineRule="auto" w:after="40"/>
            </w:pPr>
            <w:r>
              <w:rPr>
                <w:rFonts w:ascii="Times New Roman" w:hAnsi="Times New Roman"/>
                <w:sz w:val="18"/>
              </w:rPr>
              <w:t>Scores are conditional on test distribution.</w:t>
            </w:r>
          </w:p>
        </w:tc>
      </w:tr>
      <w:tr>
        <w:tc>
          <w:tcPr>
            <w:tcW w:type="dxa" w:w="3120"/>
          </w:tcPr>
          <w:p>
            <w:pPr>
              <w:spacing w:line="252" w:lineRule="auto" w:after="40"/>
            </w:pPr>
            <w:r>
              <w:rPr>
                <w:rFonts w:ascii="Times New Roman" w:hAnsi="Times New Roman"/>
                <w:sz w:val="18"/>
              </w:rPr>
              <w:t>Task and unit</w:t>
            </w:r>
          </w:p>
        </w:tc>
        <w:tc>
          <w:tcPr>
            <w:tcW w:type="dxa" w:w="3120"/>
          </w:tcPr>
          <w:p>
            <w:pPr>
              <w:spacing w:line="252" w:lineRule="auto" w:after="40"/>
            </w:pPr>
            <w:r>
              <w:rPr>
                <w:rFonts w:ascii="Times New Roman" w:hAnsi="Times New Roman"/>
                <w:sz w:val="18"/>
              </w:rPr>
              <w:t>Span, label, answer, relation, deviation, or action?</w:t>
            </w:r>
          </w:p>
        </w:tc>
        <w:tc>
          <w:tcPr>
            <w:tcW w:type="dxa" w:w="3120"/>
          </w:tcPr>
          <w:p>
            <w:pPr>
              <w:spacing w:line="252" w:lineRule="auto" w:after="40"/>
            </w:pPr>
            <w:r>
              <w:rPr>
                <w:rFonts w:ascii="Times New Roman" w:hAnsi="Times New Roman"/>
                <w:sz w:val="18"/>
              </w:rPr>
              <w:t>Defines correctness and error.</w:t>
            </w:r>
          </w:p>
        </w:tc>
      </w:tr>
      <w:tr>
        <w:tc>
          <w:tcPr>
            <w:tcW w:type="dxa" w:w="3120"/>
          </w:tcPr>
          <w:p>
            <w:pPr>
              <w:spacing w:line="252" w:lineRule="auto" w:after="40"/>
            </w:pPr>
            <w:r>
              <w:rPr>
                <w:rFonts w:ascii="Times New Roman" w:hAnsi="Times New Roman"/>
                <w:sz w:val="18"/>
              </w:rPr>
              <w:t>Labels and adjudication</w:t>
            </w:r>
          </w:p>
        </w:tc>
        <w:tc>
          <w:tcPr>
            <w:tcW w:type="dxa" w:w="3120"/>
          </w:tcPr>
          <w:p>
            <w:pPr>
              <w:spacing w:line="252" w:lineRule="auto" w:after="40"/>
            </w:pPr>
            <w:r>
              <w:rPr>
                <w:rFonts w:ascii="Times New Roman" w:hAnsi="Times New Roman"/>
                <w:sz w:val="18"/>
              </w:rPr>
              <w:t>Who labeled; what guidance; how disagreements resolved?</w:t>
            </w:r>
          </w:p>
        </w:tc>
        <w:tc>
          <w:tcPr>
            <w:tcW w:type="dxa" w:w="3120"/>
          </w:tcPr>
          <w:p>
            <w:pPr>
              <w:spacing w:line="252" w:lineRule="auto" w:after="40"/>
            </w:pPr>
            <w:r>
              <w:rPr>
                <w:rFonts w:ascii="Times New Roman" w:hAnsi="Times New Roman"/>
                <w:sz w:val="18"/>
              </w:rPr>
              <w:t>Labels operationalize judgment.</w:t>
            </w:r>
          </w:p>
        </w:tc>
      </w:tr>
      <w:tr>
        <w:tc>
          <w:tcPr>
            <w:tcW w:type="dxa" w:w="3120"/>
          </w:tcPr>
          <w:p>
            <w:pPr>
              <w:spacing w:line="252" w:lineRule="auto" w:after="40"/>
            </w:pPr>
            <w:r>
              <w:rPr>
                <w:rFonts w:ascii="Times New Roman" w:hAnsi="Times New Roman"/>
                <w:sz w:val="18"/>
              </w:rPr>
              <w:t>Split design</w:t>
            </w:r>
          </w:p>
        </w:tc>
        <w:tc>
          <w:tcPr>
            <w:tcW w:type="dxa" w:w="3120"/>
          </w:tcPr>
          <w:p>
            <w:pPr>
              <w:spacing w:line="252" w:lineRule="auto" w:after="40"/>
            </w:pPr>
            <w:r>
              <w:rPr>
                <w:rFonts w:ascii="Times New Roman" w:hAnsi="Times New Roman"/>
                <w:sz w:val="18"/>
              </w:rPr>
              <w:t>Are contracts, counterparties, templates, time separated?</w:t>
            </w:r>
          </w:p>
        </w:tc>
        <w:tc>
          <w:tcPr>
            <w:tcW w:type="dxa" w:w="3120"/>
          </w:tcPr>
          <w:p>
            <w:pPr>
              <w:spacing w:line="252" w:lineRule="auto" w:after="40"/>
            </w:pPr>
            <w:r>
              <w:rPr>
                <w:rFonts w:ascii="Times New Roman" w:hAnsi="Times New Roman"/>
                <w:sz w:val="18"/>
              </w:rPr>
              <w:t>Prevents near-duplicate leakage.</w:t>
            </w:r>
          </w:p>
        </w:tc>
      </w:tr>
      <w:tr>
        <w:tc>
          <w:tcPr>
            <w:tcW w:type="dxa" w:w="3120"/>
          </w:tcPr>
          <w:p>
            <w:pPr>
              <w:spacing w:line="252" w:lineRule="auto" w:after="40"/>
            </w:pPr>
            <w:r>
              <w:rPr>
                <w:rFonts w:ascii="Times New Roman" w:hAnsi="Times New Roman"/>
                <w:sz w:val="18"/>
              </w:rPr>
              <w:t>Baselines and ablations</w:t>
            </w:r>
          </w:p>
        </w:tc>
        <w:tc>
          <w:tcPr>
            <w:tcW w:type="dxa" w:w="3120"/>
          </w:tcPr>
          <w:p>
            <w:pPr>
              <w:spacing w:line="252" w:lineRule="auto" w:after="40"/>
            </w:pPr>
            <w:r>
              <w:rPr>
                <w:rFonts w:ascii="Times New Roman" w:hAnsi="Times New Roman"/>
                <w:sz w:val="18"/>
              </w:rPr>
              <w:t>Which simple baselines and component removals?</w:t>
            </w:r>
          </w:p>
        </w:tc>
        <w:tc>
          <w:tcPr>
            <w:tcW w:type="dxa" w:w="3120"/>
          </w:tcPr>
          <w:p>
            <w:pPr>
              <w:spacing w:line="252" w:lineRule="auto" w:after="40"/>
            </w:pPr>
            <w:r>
              <w:rPr>
                <w:rFonts w:ascii="Times New Roman" w:hAnsi="Times New Roman"/>
                <w:sz w:val="18"/>
              </w:rPr>
              <w:t>Tests value of added complexity.</w:t>
            </w:r>
          </w:p>
        </w:tc>
      </w:tr>
      <w:tr>
        <w:tc>
          <w:tcPr>
            <w:tcW w:type="dxa" w:w="3120"/>
          </w:tcPr>
          <w:p>
            <w:pPr>
              <w:spacing w:line="252" w:lineRule="auto" w:after="40"/>
            </w:pPr>
            <w:r>
              <w:rPr>
                <w:rFonts w:ascii="Times New Roman" w:hAnsi="Times New Roman"/>
                <w:sz w:val="18"/>
              </w:rPr>
              <w:t>Robustness</w:t>
            </w:r>
          </w:p>
        </w:tc>
        <w:tc>
          <w:tcPr>
            <w:tcW w:type="dxa" w:w="3120"/>
          </w:tcPr>
          <w:p>
            <w:pPr>
              <w:spacing w:line="252" w:lineRule="auto" w:after="40"/>
            </w:pPr>
            <w:r>
              <w:rPr>
                <w:rFonts w:ascii="Times New Roman" w:hAnsi="Times New Roman"/>
                <w:sz w:val="18"/>
              </w:rPr>
              <w:t>OCR errors, amendments, rare clauses, novel language?</w:t>
            </w:r>
          </w:p>
        </w:tc>
        <w:tc>
          <w:tcPr>
            <w:tcW w:type="dxa" w:w="3120"/>
          </w:tcPr>
          <w:p>
            <w:pPr>
              <w:spacing w:line="252" w:lineRule="auto" w:after="40"/>
            </w:pPr>
            <w:r>
              <w:rPr>
                <w:rFonts w:ascii="Times New Roman" w:hAnsi="Times New Roman"/>
                <w:sz w:val="18"/>
              </w:rPr>
              <w:t>Reflects actual intake.</w:t>
            </w:r>
          </w:p>
        </w:tc>
      </w:tr>
      <w:tr>
        <w:tc>
          <w:tcPr>
            <w:tcW w:type="dxa" w:w="3120"/>
          </w:tcPr>
          <w:p>
            <w:pPr>
              <w:spacing w:line="252" w:lineRule="auto" w:after="40"/>
            </w:pPr>
            <w:r>
              <w:rPr>
                <w:rFonts w:ascii="Times New Roman" w:hAnsi="Times New Roman"/>
                <w:sz w:val="18"/>
              </w:rPr>
              <w:t>Calibration and abstention</w:t>
            </w:r>
          </w:p>
        </w:tc>
        <w:tc>
          <w:tcPr>
            <w:tcW w:type="dxa" w:w="3120"/>
          </w:tcPr>
          <w:p>
            <w:pPr>
              <w:spacing w:line="252" w:lineRule="auto" w:after="40"/>
            </w:pPr>
            <w:r>
              <w:rPr>
                <w:rFonts w:ascii="Times New Roman" w:hAnsi="Times New Roman"/>
                <w:sz w:val="18"/>
              </w:rPr>
              <w:t>Does confidence match errors; when does system abstain?</w:t>
            </w:r>
          </w:p>
        </w:tc>
        <w:tc>
          <w:tcPr>
            <w:tcW w:type="dxa" w:w="3120"/>
          </w:tcPr>
          <w:p>
            <w:pPr>
              <w:spacing w:line="252" w:lineRule="auto" w:after="40"/>
            </w:pPr>
            <w:r>
              <w:rPr>
                <w:rFonts w:ascii="Times New Roman" w:hAnsi="Times New Roman"/>
                <w:sz w:val="18"/>
              </w:rPr>
              <w:t>Supports thresholds and escalation.</w:t>
            </w:r>
          </w:p>
        </w:tc>
      </w:tr>
      <w:tr>
        <w:tc>
          <w:tcPr>
            <w:tcW w:type="dxa" w:w="3120"/>
          </w:tcPr>
          <w:p>
            <w:pPr>
              <w:spacing w:line="252" w:lineRule="auto" w:after="40"/>
            </w:pPr>
            <w:r>
              <w:rPr>
                <w:rFonts w:ascii="Times New Roman" w:hAnsi="Times New Roman"/>
                <w:sz w:val="18"/>
              </w:rPr>
              <w:t>Workflow</w:t>
            </w:r>
          </w:p>
        </w:tc>
        <w:tc>
          <w:tcPr>
            <w:tcW w:type="dxa" w:w="3120"/>
          </w:tcPr>
          <w:p>
            <w:pPr>
              <w:spacing w:line="252" w:lineRule="auto" w:after="40"/>
            </w:pPr>
            <w:r>
              <w:rPr>
                <w:rFonts w:ascii="Times New Roman" w:hAnsi="Times New Roman"/>
                <w:sz w:val="18"/>
              </w:rPr>
              <w:t>Reviewer time, overrides, missed issues?</w:t>
            </w:r>
          </w:p>
        </w:tc>
        <w:tc>
          <w:tcPr>
            <w:tcW w:type="dxa" w:w="3120"/>
          </w:tcPr>
          <w:p>
            <w:pPr>
              <w:spacing w:line="252" w:lineRule="auto" w:after="40"/>
            </w:pPr>
            <w:r>
              <w:rPr>
                <w:rFonts w:ascii="Times New Roman" w:hAnsi="Times New Roman"/>
                <w:sz w:val="18"/>
              </w:rPr>
              <w:t>Measures practical value.</w:t>
            </w:r>
          </w:p>
        </w:tc>
      </w:tr>
      <w:tr>
        <w:tc>
          <w:tcPr>
            <w:tcW w:type="dxa" w:w="3120"/>
          </w:tcPr>
          <w:p>
            <w:pPr>
              <w:spacing w:line="252" w:lineRule="auto" w:after="40"/>
            </w:pPr>
            <w:r>
              <w:rPr>
                <w:rFonts w:ascii="Times New Roman" w:hAnsi="Times New Roman"/>
                <w:sz w:val="18"/>
              </w:rPr>
              <w:t>Governance</w:t>
            </w:r>
          </w:p>
        </w:tc>
        <w:tc>
          <w:tcPr>
            <w:tcW w:type="dxa" w:w="3120"/>
          </w:tcPr>
          <w:p>
            <w:pPr>
              <w:spacing w:line="252" w:lineRule="auto" w:after="40"/>
            </w:pPr>
            <w:r>
              <w:rPr>
                <w:rFonts w:ascii="Times New Roman" w:hAnsi="Times New Roman"/>
                <w:sz w:val="18"/>
              </w:rPr>
              <w:t>Versions, permissions, logs, owners, monitoring?</w:t>
            </w:r>
          </w:p>
        </w:tc>
        <w:tc>
          <w:tcPr>
            <w:tcW w:type="dxa" w:w="3120"/>
          </w:tcPr>
          <w:p>
            <w:pPr>
              <w:spacing w:line="252" w:lineRule="auto" w:after="40"/>
            </w:pPr>
            <w:r>
              <w:rPr>
                <w:rFonts w:ascii="Times New Roman" w:hAnsi="Times New Roman"/>
                <w:sz w:val="18"/>
              </w:rPr>
              <w:t>Supports accountability.</w:t>
            </w:r>
          </w:p>
        </w:tc>
      </w:tr>
    </w:tbl>
    <w:p/>
    <w:p>
      <w:pPr>
        <w:pStyle w:val="Heading2"/>
      </w:pPr>
      <w:r>
        <w:t>6.1 Avoiding misleading comparisons</w:t>
      </w:r>
    </w:p>
    <w:p>
      <w:pPr>
        <w:spacing w:line="480" w:lineRule="auto"/>
      </w:pPr>
      <w:r>
        <w:t>Random sentence splits can place near-identical template provisions in train and test sets, rewarding memorization. Group by contract, counterparty, template family, source, or time according to intended use. If deployment encounters a new jurisdiction or business unit, hold that slice out. Document the rationale and compare relevant slices.</w:t>
      </w:r>
    </w:p>
    <w:p>
      <w:pPr>
        <w:spacing w:line="480" w:lineRule="auto"/>
      </w:pPr>
      <w:r>
        <w:t>An unlabeled clause is not necessarily negative: annotations may cover only selected risks, and several clauses can jointly express a concept. Document coverage and adjudication. Expert review of stratified false positives and false negatives often reveals failures hidden by aggregate scores. Include operational costs; high recall can overwhelm reviewers, while fewer alerts may miss critical issues. Set thresholds with stakeholders, not by maximizing a summary metric alone.</w:t>
      </w:r>
    </w:p>
    <w:p>
      <w:pPr>
        <w:pStyle w:val="Heading1"/>
      </w:pPr>
      <w:r>
        <w:t>7. Evaluation metrics and validation design</w:t>
      </w:r>
    </w:p>
    <w:p>
      <w:pPr>
        <w:spacing w:line="480" w:lineRule="auto"/>
      </w:pPr>
      <w:r>
        <w:t>Choose metrics to match the output and harm profile. Accuracy can help with balanced exclusive labels but misleads with rare risks. Report confusion matrices and per-category results. Precision is the share of flags that are relevant; recall is the share of annotated relevant cases found. F1 summarizes a thresholded balance but hides trade-offs and error costs. Macro averaging weights categories equally; micro averaging emphasizes frequent examples. Provide both with per-label values.</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D9E6F2"/>
          </w:tcPr>
          <w:p>
            <w:pPr>
              <w:spacing w:line="252" w:lineRule="auto" w:after="40"/>
            </w:pPr>
            <w:r>
              <w:rPr>
                <w:rFonts w:ascii="Times New Roman" w:hAnsi="Times New Roman"/>
                <w:sz w:val="18"/>
              </w:rPr>
              <w:t>Task</w:t>
            </w:r>
          </w:p>
        </w:tc>
        <w:tc>
          <w:tcPr>
            <w:tcW w:type="dxa" w:w="3120"/>
            <w:shd w:fill="D9E6F2"/>
          </w:tcPr>
          <w:p>
            <w:pPr>
              <w:spacing w:line="252" w:lineRule="auto" w:after="40"/>
            </w:pPr>
            <w:r>
              <w:rPr>
                <w:rFonts w:ascii="Times New Roman" w:hAnsi="Times New Roman"/>
                <w:sz w:val="18"/>
              </w:rPr>
              <w:t>Candidate metrics</w:t>
            </w:r>
          </w:p>
        </w:tc>
        <w:tc>
          <w:tcPr>
            <w:tcW w:type="dxa" w:w="3120"/>
            <w:shd w:fill="D9E6F2"/>
          </w:tcPr>
          <w:p>
            <w:pPr>
              <w:spacing w:line="252" w:lineRule="auto" w:after="40"/>
            </w:pPr>
            <w:r>
              <w:rPr>
                <w:rFonts w:ascii="Times New Roman" w:hAnsi="Times New Roman"/>
                <w:sz w:val="18"/>
              </w:rPr>
              <w:t>Additional checks</w:t>
            </w:r>
          </w:p>
        </w:tc>
      </w:tr>
      <w:tr>
        <w:tc>
          <w:tcPr>
            <w:tcW w:type="dxa" w:w="3120"/>
          </w:tcPr>
          <w:p>
            <w:pPr>
              <w:spacing w:line="252" w:lineRule="auto" w:after="40"/>
            </w:pPr>
            <w:r>
              <w:rPr>
                <w:rFonts w:ascii="Times New Roman" w:hAnsi="Times New Roman"/>
                <w:sz w:val="18"/>
              </w:rPr>
              <w:t>Clause retrieval</w:t>
            </w:r>
          </w:p>
        </w:tc>
        <w:tc>
          <w:tcPr>
            <w:tcW w:type="dxa" w:w="3120"/>
          </w:tcPr>
          <w:p>
            <w:pPr>
              <w:spacing w:line="252" w:lineRule="auto" w:after="40"/>
            </w:pPr>
            <w:r>
              <w:rPr>
                <w:rFonts w:ascii="Times New Roman" w:hAnsi="Times New Roman"/>
                <w:sz w:val="18"/>
              </w:rPr>
              <w:t>Recall@k, precision@k, MRR, nDCG.</w:t>
            </w:r>
          </w:p>
        </w:tc>
        <w:tc>
          <w:tcPr>
            <w:tcW w:type="dxa" w:w="3120"/>
          </w:tcPr>
          <w:p>
            <w:pPr>
              <w:spacing w:line="252" w:lineRule="auto" w:after="40"/>
            </w:pPr>
            <w:r>
              <w:rPr>
                <w:rFonts w:ascii="Times New Roman" w:hAnsi="Times New Roman"/>
                <w:sz w:val="18"/>
              </w:rPr>
              <w:t>Misses; ranking by category and document length.</w:t>
            </w:r>
          </w:p>
        </w:tc>
      </w:tr>
      <w:tr>
        <w:tc>
          <w:tcPr>
            <w:tcW w:type="dxa" w:w="3120"/>
          </w:tcPr>
          <w:p>
            <w:pPr>
              <w:spacing w:line="252" w:lineRule="auto" w:after="40"/>
            </w:pPr>
            <w:r>
              <w:rPr>
                <w:rFonts w:ascii="Times New Roman" w:hAnsi="Times New Roman"/>
                <w:sz w:val="18"/>
              </w:rPr>
              <w:t>Span extraction</w:t>
            </w:r>
          </w:p>
        </w:tc>
        <w:tc>
          <w:tcPr>
            <w:tcW w:type="dxa" w:w="3120"/>
          </w:tcPr>
          <w:p>
            <w:pPr>
              <w:spacing w:line="252" w:lineRule="auto" w:after="40"/>
            </w:pPr>
            <w:r>
              <w:rPr>
                <w:rFonts w:ascii="Times New Roman" w:hAnsi="Times New Roman"/>
                <w:sz w:val="18"/>
              </w:rPr>
              <w:t>Exact match; token precision/recall/F1.</w:t>
            </w:r>
          </w:p>
        </w:tc>
        <w:tc>
          <w:tcPr>
            <w:tcW w:type="dxa" w:w="3120"/>
          </w:tcPr>
          <w:p>
            <w:pPr>
              <w:spacing w:line="252" w:lineRule="auto" w:after="40"/>
            </w:pPr>
            <w:r>
              <w:rPr>
                <w:rFonts w:ascii="Times New Roman" w:hAnsi="Times New Roman"/>
                <w:sz w:val="18"/>
              </w:rPr>
              <w:t>Boundary disagreement; citation validity.</w:t>
            </w:r>
          </w:p>
        </w:tc>
      </w:tr>
      <w:tr>
        <w:tc>
          <w:tcPr>
            <w:tcW w:type="dxa" w:w="3120"/>
          </w:tcPr>
          <w:p>
            <w:pPr>
              <w:spacing w:line="252" w:lineRule="auto" w:after="40"/>
            </w:pPr>
            <w:r>
              <w:rPr>
                <w:rFonts w:ascii="Times New Roman" w:hAnsi="Times New Roman"/>
                <w:sz w:val="18"/>
              </w:rPr>
              <w:t>Multi-label classification</w:t>
            </w:r>
          </w:p>
        </w:tc>
        <w:tc>
          <w:tcPr>
            <w:tcW w:type="dxa" w:w="3120"/>
          </w:tcPr>
          <w:p>
            <w:pPr>
              <w:spacing w:line="252" w:lineRule="auto" w:after="40"/>
            </w:pPr>
            <w:r>
              <w:rPr>
                <w:rFonts w:ascii="Times New Roman" w:hAnsi="Times New Roman"/>
                <w:sz w:val="18"/>
              </w:rPr>
              <w:t>Per-label P/R/F1; macro/micro F1; PR-AUC.</w:t>
            </w:r>
          </w:p>
        </w:tc>
        <w:tc>
          <w:tcPr>
            <w:tcW w:type="dxa" w:w="3120"/>
          </w:tcPr>
          <w:p>
            <w:pPr>
              <w:spacing w:line="252" w:lineRule="auto" w:after="40"/>
            </w:pPr>
            <w:r>
              <w:rPr>
                <w:rFonts w:ascii="Times New Roman" w:hAnsi="Times New Roman"/>
                <w:sz w:val="18"/>
              </w:rPr>
              <w:t>Prevalence, thresholds, co-occurring labels.</w:t>
            </w:r>
          </w:p>
        </w:tc>
      </w:tr>
      <w:tr>
        <w:tc>
          <w:tcPr>
            <w:tcW w:type="dxa" w:w="3120"/>
          </w:tcPr>
          <w:p>
            <w:pPr>
              <w:spacing w:line="252" w:lineRule="auto" w:after="40"/>
            </w:pPr>
            <w:r>
              <w:rPr>
                <w:rFonts w:ascii="Times New Roman" w:hAnsi="Times New Roman"/>
                <w:sz w:val="18"/>
              </w:rPr>
              <w:t>Question answering</w:t>
            </w:r>
          </w:p>
        </w:tc>
        <w:tc>
          <w:tcPr>
            <w:tcW w:type="dxa" w:w="3120"/>
          </w:tcPr>
          <w:p>
            <w:pPr>
              <w:spacing w:line="252" w:lineRule="auto" w:after="40"/>
            </w:pPr>
            <w:r>
              <w:rPr>
                <w:rFonts w:ascii="Times New Roman" w:hAnsi="Times New Roman"/>
                <w:sz w:val="18"/>
              </w:rPr>
              <w:t>Exact match, token F1, field accuracy.</w:t>
            </w:r>
          </w:p>
        </w:tc>
        <w:tc>
          <w:tcPr>
            <w:tcW w:type="dxa" w:w="3120"/>
          </w:tcPr>
          <w:p>
            <w:pPr>
              <w:spacing w:line="252" w:lineRule="auto" w:after="40"/>
            </w:pPr>
            <w:r>
              <w:rPr>
                <w:rFonts w:ascii="Times New Roman" w:hAnsi="Times New Roman"/>
                <w:sz w:val="18"/>
              </w:rPr>
              <w:t>Answerability; dates/numbers; supporting span.</w:t>
            </w:r>
          </w:p>
        </w:tc>
      </w:tr>
      <w:tr>
        <w:tc>
          <w:tcPr>
            <w:tcW w:type="dxa" w:w="3120"/>
          </w:tcPr>
          <w:p>
            <w:pPr>
              <w:spacing w:line="252" w:lineRule="auto" w:after="40"/>
            </w:pPr>
            <w:r>
              <w:rPr>
                <w:rFonts w:ascii="Times New Roman" w:hAnsi="Times New Roman"/>
                <w:sz w:val="18"/>
              </w:rPr>
              <w:t>Policy deviation</w:t>
            </w:r>
          </w:p>
        </w:tc>
        <w:tc>
          <w:tcPr>
            <w:tcW w:type="dxa" w:w="3120"/>
          </w:tcPr>
          <w:p>
            <w:pPr>
              <w:spacing w:line="252" w:lineRule="auto" w:after="40"/>
            </w:pPr>
            <w:r>
              <w:rPr>
                <w:rFonts w:ascii="Times New Roman" w:hAnsi="Times New Roman"/>
                <w:sz w:val="18"/>
              </w:rPr>
              <w:t>Per-rule precision/recall; severity-weighted review.</w:t>
            </w:r>
          </w:p>
        </w:tc>
        <w:tc>
          <w:tcPr>
            <w:tcW w:type="dxa" w:w="3120"/>
          </w:tcPr>
          <w:p>
            <w:pPr>
              <w:spacing w:line="252" w:lineRule="auto" w:after="40"/>
            </w:pPr>
            <w:r>
              <w:rPr>
                <w:rFonts w:ascii="Times New Roman" w:hAnsi="Times New Roman"/>
                <w:sz w:val="18"/>
              </w:rPr>
              <w:t>Correct policy version; exceptions; adjudication.</w:t>
            </w:r>
          </w:p>
        </w:tc>
      </w:tr>
      <w:tr>
        <w:tc>
          <w:tcPr>
            <w:tcW w:type="dxa" w:w="3120"/>
          </w:tcPr>
          <w:p>
            <w:pPr>
              <w:spacing w:line="252" w:lineRule="auto" w:after="40"/>
            </w:pPr>
            <w:r>
              <w:rPr>
                <w:rFonts w:ascii="Times New Roman" w:hAnsi="Times New Roman"/>
                <w:sz w:val="18"/>
              </w:rPr>
              <w:t>Generated explanations</w:t>
            </w:r>
          </w:p>
        </w:tc>
        <w:tc>
          <w:tcPr>
            <w:tcW w:type="dxa" w:w="3120"/>
          </w:tcPr>
          <w:p>
            <w:pPr>
              <w:spacing w:line="252" w:lineRule="auto" w:after="40"/>
            </w:pPr>
            <w:r>
              <w:rPr>
                <w:rFonts w:ascii="Times New Roman" w:hAnsi="Times New Roman"/>
                <w:sz w:val="18"/>
              </w:rPr>
              <w:t>Citation precision; evidence coverage; consistency review.</w:t>
            </w:r>
          </w:p>
        </w:tc>
        <w:tc>
          <w:tcPr>
            <w:tcW w:type="dxa" w:w="3120"/>
          </w:tcPr>
          <w:p>
            <w:pPr>
              <w:spacing w:line="252" w:lineRule="auto" w:after="40"/>
            </w:pPr>
            <w:r>
              <w:rPr>
                <w:rFonts w:ascii="Times New Roman" w:hAnsi="Times New Roman"/>
                <w:sz w:val="18"/>
              </w:rPr>
              <w:t>Unsupported claim rate; omissions; human protocol.</w:t>
            </w:r>
          </w:p>
        </w:tc>
      </w:tr>
      <w:tr>
        <w:tc>
          <w:tcPr>
            <w:tcW w:type="dxa" w:w="3120"/>
          </w:tcPr>
          <w:p>
            <w:pPr>
              <w:spacing w:line="252" w:lineRule="auto" w:after="40"/>
            </w:pPr>
            <w:r>
              <w:rPr>
                <w:rFonts w:ascii="Times New Roman" w:hAnsi="Times New Roman"/>
                <w:sz w:val="18"/>
              </w:rPr>
              <w:t>Workflow</w:t>
            </w:r>
          </w:p>
        </w:tc>
        <w:tc>
          <w:tcPr>
            <w:tcW w:type="dxa" w:w="3120"/>
          </w:tcPr>
          <w:p>
            <w:pPr>
              <w:spacing w:line="252" w:lineRule="auto" w:after="40"/>
            </w:pPr>
            <w:r>
              <w:rPr>
                <w:rFonts w:ascii="Times New Roman" w:hAnsi="Times New Roman"/>
                <w:sz w:val="18"/>
              </w:rPr>
              <w:t>Time, correction, escalation, override rates.</w:t>
            </w:r>
          </w:p>
        </w:tc>
        <w:tc>
          <w:tcPr>
            <w:tcW w:type="dxa" w:w="3120"/>
          </w:tcPr>
          <w:p>
            <w:pPr>
              <w:spacing w:line="252" w:lineRule="auto" w:after="40"/>
            </w:pPr>
            <w:r>
              <w:rPr>
                <w:rFonts w:ascii="Times New Roman" w:hAnsi="Times New Roman"/>
                <w:sz w:val="18"/>
              </w:rPr>
              <w:t>Missed material issues, workload, downstream quality.</w:t>
            </w:r>
          </w:p>
        </w:tc>
      </w:tr>
    </w:tbl>
    <w:p/>
    <w:p>
      <w:pPr>
        <w:pStyle w:val="Heading2"/>
      </w:pPr>
      <w:r>
        <w:t>7.1 Asymmetric errors and operating thresholds</w:t>
      </w:r>
    </w:p>
    <w:p>
      <w:pPr>
        <w:spacing w:line="480" w:lineRule="auto"/>
      </w:pPr>
      <w:r>
        <w:t>A false negative and a false positive do not have equal consequences. Missing an uncapped indemnity may create substantial exposure; unnecessary alerts consume reviewer time and can erode trust. Relative cost varies by risk and transaction. Select thresholds using representative validation data and stakeholder tolerance. When base rates shift, positive predictive value changes. For rare categories, precision-recall curves are often more informative than accuracy or ROC-AUC alone.</w:t>
      </w:r>
    </w:p>
    <w:p>
      <w:pPr>
        <w:spacing w:line="480" w:lineRule="auto"/>
      </w:pPr>
      <w:r>
        <w:t>Report uncertainty intervals, particularly for small samples and rare labels. Calibration checks whether predicted confidence aligns with correctness. Do not present confidence as probability of legal harm unless that quantity has a defensible definition and validation. A confidence value may describe classification certainty or retrieval rank only.</w:t>
      </w:r>
    </w:p>
    <w:p>
      <w:pPr>
        <w:pStyle w:val="Heading2"/>
      </w:pPr>
      <w:r>
        <w:t>7.2 External, temporal, and prospective validation</w:t>
      </w:r>
    </w:p>
    <w:p>
      <w:pPr>
        <w:spacing w:line="480" w:lineRule="auto"/>
      </w:pPr>
      <w:r>
        <w:t>Internal holdouts are only an initial check. External validation on another source or organization tests transfer; temporal validation tests change in drafting and policy. Prospective silent evaluation compares outputs with ordinary review without influencing decisions. A controlled assistive pilot can then measure reviewer effects, escalation, and misses. High-impact changes require revalidation and release approval.</w:t>
      </w:r>
    </w:p>
    <w:p>
      <w:pPr>
        <w:spacing w:line="480" w:lineRule="auto"/>
      </w:pPr>
      <w:r>
        <w:t>Human evaluation should define expertise, instructions, time constraints, blinding, and adjudication. Reviewer disagreement may reflect real ambiguity. Measure whether the interface helps locate and understand evidence, not only completion speed. Sample unflagged material to identify false negatives.</w:t>
      </w:r>
    </w:p>
    <w:p>
      <w:pPr>
        <w:pStyle w:val="Heading1"/>
      </w:pPr>
      <w:r>
        <w:t>8. Proposed human-in-the-loop architecture</w:t>
      </w:r>
    </w:p>
    <w:p>
      <w:pPr>
        <w:spacing w:line="480" w:lineRule="auto"/>
      </w:pPr>
      <w:r>
        <w:t>This architecture is a proposed synthesis, not a tested implementation or measured-benefit claim. It automates repeatable information work while reserving consequential interpretation and disposition for authorized reviewers. Each stage produces a traceable artifact, and every finding links to the original agreement.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D9E6F2"/>
          </w:tcPr>
          <w:p>
            <w:pPr>
              <w:spacing w:line="252" w:lineRule="auto" w:after="40"/>
            </w:pPr>
            <w:r>
              <w:rPr>
                <w:rFonts w:ascii="Times New Roman" w:hAnsi="Times New Roman"/>
                <w:sz w:val="18"/>
              </w:rPr>
              <w:t>Stage</w:t>
            </w:r>
          </w:p>
        </w:tc>
        <w:tc>
          <w:tcPr>
            <w:tcW w:type="dxa" w:w="3120"/>
            <w:shd w:fill="D9E6F2"/>
          </w:tcPr>
          <w:p>
            <w:pPr>
              <w:spacing w:line="252" w:lineRule="auto" w:after="40"/>
            </w:pPr>
            <w:r>
              <w:rPr>
                <w:rFonts w:ascii="Times New Roman" w:hAnsi="Times New Roman"/>
                <w:sz w:val="18"/>
              </w:rPr>
              <w:t>System action</w:t>
            </w:r>
          </w:p>
        </w:tc>
        <w:tc>
          <w:tcPr>
            <w:tcW w:type="dxa" w:w="3120"/>
            <w:shd w:fill="D9E6F2"/>
          </w:tcPr>
          <w:p>
            <w:pPr>
              <w:spacing w:line="252" w:lineRule="auto" w:after="40"/>
            </w:pPr>
            <w:r>
              <w:rPr>
                <w:rFonts w:ascii="Times New Roman" w:hAnsi="Times New Roman"/>
                <w:sz w:val="18"/>
              </w:rPr>
              <w:t>Human/control point</w:t>
            </w:r>
          </w:p>
        </w:tc>
      </w:tr>
      <w:tr>
        <w:tc>
          <w:tcPr>
            <w:tcW w:type="dxa" w:w="3120"/>
          </w:tcPr>
          <w:p>
            <w:pPr>
              <w:spacing w:line="252" w:lineRule="auto" w:after="40"/>
            </w:pPr>
            <w:r>
              <w:rPr>
                <w:rFonts w:ascii="Times New Roman" w:hAnsi="Times New Roman"/>
                <w:sz w:val="18"/>
              </w:rPr>
              <w:t>1 Intake</w:t>
            </w:r>
          </w:p>
        </w:tc>
        <w:tc>
          <w:tcPr>
            <w:tcW w:type="dxa" w:w="3120"/>
          </w:tcPr>
          <w:p>
            <w:pPr>
              <w:spacing w:line="252" w:lineRule="auto" w:after="40"/>
            </w:pPr>
            <w:r>
              <w:rPr>
                <w:rFonts w:ascii="Times New Roman" w:hAnsi="Times New Roman"/>
                <w:sz w:val="18"/>
              </w:rPr>
              <w:t>Assign ID/hash; record source, party, date; preserve original.</w:t>
            </w:r>
          </w:p>
        </w:tc>
        <w:tc>
          <w:tcPr>
            <w:tcW w:type="dxa" w:w="3120"/>
          </w:tcPr>
          <w:p>
            <w:pPr>
              <w:spacing w:line="252" w:lineRule="auto" w:after="40"/>
            </w:pPr>
            <w:r>
              <w:rPr>
                <w:rFonts w:ascii="Times New Roman" w:hAnsi="Times New Roman"/>
                <w:sz w:val="18"/>
              </w:rPr>
              <w:t>Confirm matter and permissions; reject incomplete sets.</w:t>
            </w:r>
          </w:p>
        </w:tc>
      </w:tr>
      <w:tr>
        <w:tc>
          <w:tcPr>
            <w:tcW w:type="dxa" w:w="3120"/>
          </w:tcPr>
          <w:p>
            <w:pPr>
              <w:spacing w:line="252" w:lineRule="auto" w:after="40"/>
            </w:pPr>
            <w:r>
              <w:rPr>
                <w:rFonts w:ascii="Times New Roman" w:hAnsi="Times New Roman"/>
                <w:sz w:val="18"/>
              </w:rPr>
              <w:t>2 Parse</w:t>
            </w:r>
          </w:p>
        </w:tc>
        <w:tc>
          <w:tcPr>
            <w:tcW w:type="dxa" w:w="3120"/>
          </w:tcPr>
          <w:p>
            <w:pPr>
              <w:spacing w:line="252" w:lineRule="auto" w:after="40"/>
            </w:pPr>
            <w:r>
              <w:rPr>
                <w:rFonts w:ascii="Times New Roman" w:hAnsi="Times New Roman"/>
                <w:sz w:val="18"/>
              </w:rPr>
              <w:t>Extract text/layout; OCR; segment; score quality.</w:t>
            </w:r>
          </w:p>
        </w:tc>
        <w:tc>
          <w:tcPr>
            <w:tcW w:type="dxa" w:w="3120"/>
          </w:tcPr>
          <w:p>
            <w:pPr>
              <w:spacing w:line="252" w:lineRule="auto" w:after="40"/>
            </w:pPr>
            <w:r>
              <w:rPr>
                <w:rFonts w:ascii="Times New Roman" w:hAnsi="Times New Roman"/>
                <w:sz w:val="18"/>
              </w:rPr>
              <w:t>Review poor pages and missing exhibits.</w:t>
            </w:r>
          </w:p>
        </w:tc>
      </w:tr>
      <w:tr>
        <w:tc>
          <w:tcPr>
            <w:tcW w:type="dxa" w:w="3120"/>
          </w:tcPr>
          <w:p>
            <w:pPr>
              <w:spacing w:line="252" w:lineRule="auto" w:after="40"/>
            </w:pPr>
            <w:r>
              <w:rPr>
                <w:rFonts w:ascii="Times New Roman" w:hAnsi="Times New Roman"/>
                <w:sz w:val="18"/>
              </w:rPr>
              <w:t>3 Retrieve</w:t>
            </w:r>
          </w:p>
        </w:tc>
        <w:tc>
          <w:tcPr>
            <w:tcW w:type="dxa" w:w="3120"/>
          </w:tcPr>
          <w:p>
            <w:pPr>
              <w:spacing w:line="252" w:lineRule="auto" w:after="40"/>
            </w:pPr>
            <w:r>
              <w:rPr>
                <w:rFonts w:ascii="Times New Roman" w:hAnsi="Times New Roman"/>
                <w:sz w:val="18"/>
              </w:rPr>
              <w:t>Search clauses, tables, cross-references, amendments, policy.</w:t>
            </w:r>
          </w:p>
        </w:tc>
        <w:tc>
          <w:tcPr>
            <w:tcW w:type="dxa" w:w="3120"/>
          </w:tcPr>
          <w:p>
            <w:pPr>
              <w:spacing w:line="252" w:lineRule="auto" w:after="40"/>
            </w:pPr>
            <w:r>
              <w:rPr>
                <w:rFonts w:ascii="Times New Roman" w:hAnsi="Times New Roman"/>
                <w:sz w:val="18"/>
              </w:rPr>
              <w:t>Expand context or search entire agreement.</w:t>
            </w:r>
          </w:p>
        </w:tc>
      </w:tr>
      <w:tr>
        <w:tc>
          <w:tcPr>
            <w:tcW w:type="dxa" w:w="3120"/>
          </w:tcPr>
          <w:p>
            <w:pPr>
              <w:spacing w:line="252" w:lineRule="auto" w:after="40"/>
            </w:pPr>
            <w:r>
              <w:rPr>
                <w:rFonts w:ascii="Times New Roman" w:hAnsi="Times New Roman"/>
                <w:sz w:val="18"/>
              </w:rPr>
              <w:t>4 Extract</w:t>
            </w:r>
          </w:p>
        </w:tc>
        <w:tc>
          <w:tcPr>
            <w:tcW w:type="dxa" w:w="3120"/>
          </w:tcPr>
          <w:p>
            <w:pPr>
              <w:spacing w:line="252" w:lineRule="auto" w:after="40"/>
            </w:pPr>
            <w:r>
              <w:rPr>
                <w:rFonts w:ascii="Times New Roman" w:hAnsi="Times New Roman"/>
                <w:sz w:val="18"/>
              </w:rPr>
              <w:t>Identify parties, duties, amounts, dates, exceptions, links.</w:t>
            </w:r>
          </w:p>
        </w:tc>
        <w:tc>
          <w:tcPr>
            <w:tcW w:type="dxa" w:w="3120"/>
          </w:tcPr>
          <w:p>
            <w:pPr>
              <w:spacing w:line="252" w:lineRule="auto" w:after="40"/>
            </w:pPr>
            <w:r>
              <w:rPr>
                <w:rFonts w:ascii="Times New Roman" w:hAnsi="Times New Roman"/>
                <w:sz w:val="18"/>
              </w:rPr>
              <w:t>Confirm consequential fields.</w:t>
            </w:r>
          </w:p>
        </w:tc>
      </w:tr>
      <w:tr>
        <w:tc>
          <w:tcPr>
            <w:tcW w:type="dxa" w:w="3120"/>
          </w:tcPr>
          <w:p>
            <w:pPr>
              <w:spacing w:line="252" w:lineRule="auto" w:after="40"/>
            </w:pPr>
            <w:r>
              <w:rPr>
                <w:rFonts w:ascii="Times New Roman" w:hAnsi="Times New Roman"/>
                <w:sz w:val="18"/>
              </w:rPr>
              <w:t>5 Compare</w:t>
            </w:r>
          </w:p>
        </w:tc>
        <w:tc>
          <w:tcPr>
            <w:tcW w:type="dxa" w:w="3120"/>
          </w:tcPr>
          <w:p>
            <w:pPr>
              <w:spacing w:line="252" w:lineRule="auto" w:after="40"/>
            </w:pPr>
            <w:r>
              <w:rPr>
                <w:rFonts w:ascii="Times New Roman" w:hAnsi="Times New Roman"/>
                <w:sz w:val="18"/>
              </w:rPr>
              <w:t>Apply versioned rules and playbook; mark deviation.</w:t>
            </w:r>
          </w:p>
        </w:tc>
        <w:tc>
          <w:tcPr>
            <w:tcW w:type="dxa" w:w="3120"/>
          </w:tcPr>
          <w:p>
            <w:pPr>
              <w:spacing w:line="252" w:lineRule="auto" w:after="40"/>
            </w:pPr>
            <w:r>
              <w:rPr>
                <w:rFonts w:ascii="Times New Roman" w:hAnsi="Times New Roman"/>
                <w:sz w:val="18"/>
              </w:rPr>
              <w:t>Policy owner controls updates; counsel handles interpretation.</w:t>
            </w:r>
          </w:p>
        </w:tc>
      </w:tr>
      <w:tr>
        <w:tc>
          <w:tcPr>
            <w:tcW w:type="dxa" w:w="3120"/>
          </w:tcPr>
          <w:p>
            <w:pPr>
              <w:spacing w:line="252" w:lineRule="auto" w:after="40"/>
            </w:pPr>
            <w:r>
              <w:rPr>
                <w:rFonts w:ascii="Times New Roman" w:hAnsi="Times New Roman"/>
                <w:sz w:val="18"/>
              </w:rPr>
              <w:t>6 Explain</w:t>
            </w:r>
          </w:p>
        </w:tc>
        <w:tc>
          <w:tcPr>
            <w:tcW w:type="dxa" w:w="3120"/>
          </w:tcPr>
          <w:p>
            <w:pPr>
              <w:spacing w:line="252" w:lineRule="auto" w:after="40"/>
            </w:pPr>
            <w:r>
              <w:rPr>
                <w:rFonts w:ascii="Times New Roman" w:hAnsi="Times New Roman"/>
                <w:sz w:val="18"/>
              </w:rPr>
              <w:t>Show evidence, rule, uncertainty, links, proposed priority.</w:t>
            </w:r>
          </w:p>
        </w:tc>
        <w:tc>
          <w:tcPr>
            <w:tcW w:type="dxa" w:w="3120"/>
          </w:tcPr>
          <w:p>
            <w:pPr>
              <w:spacing w:line="252" w:lineRule="auto" w:after="40"/>
            </w:pPr>
            <w:r>
              <w:rPr>
                <w:rFonts w:ascii="Times New Roman" w:hAnsi="Times New Roman"/>
                <w:sz w:val="18"/>
              </w:rPr>
              <w:t>Accept, edit, reject, escalate, or abstain.</w:t>
            </w:r>
          </w:p>
        </w:tc>
      </w:tr>
      <w:tr>
        <w:tc>
          <w:tcPr>
            <w:tcW w:type="dxa" w:w="3120"/>
          </w:tcPr>
          <w:p>
            <w:pPr>
              <w:spacing w:line="252" w:lineRule="auto" w:after="40"/>
            </w:pPr>
            <w:r>
              <w:rPr>
                <w:rFonts w:ascii="Times New Roman" w:hAnsi="Times New Roman"/>
                <w:sz w:val="18"/>
              </w:rPr>
              <w:t>7 Monitor</w:t>
            </w:r>
          </w:p>
        </w:tc>
        <w:tc>
          <w:tcPr>
            <w:tcW w:type="dxa" w:w="3120"/>
          </w:tcPr>
          <w:p>
            <w:pPr>
              <w:spacing w:line="252" w:lineRule="auto" w:after="40"/>
            </w:pPr>
            <w:r>
              <w:rPr>
                <w:rFonts w:ascii="Times New Roman" w:hAnsi="Times New Roman"/>
                <w:sz w:val="18"/>
              </w:rPr>
              <w:t>Log model/policy versions, evidence and disposition.</w:t>
            </w:r>
          </w:p>
        </w:tc>
        <w:tc>
          <w:tcPr>
            <w:tcW w:type="dxa" w:w="3120"/>
          </w:tcPr>
          <w:p>
            <w:pPr>
              <w:spacing w:line="252" w:lineRule="auto" w:after="40"/>
            </w:pPr>
            <w:r>
              <w:rPr>
                <w:rFonts w:ascii="Times New Roman" w:hAnsi="Times New Roman"/>
                <w:sz w:val="18"/>
              </w:rPr>
              <w:t>Audit, assess drift/incidents, govern release.</w:t>
            </w:r>
          </w:p>
        </w:tc>
      </w:tr>
    </w:tbl>
    <w:p/>
    <w:p>
      <w:pPr>
        <w:pStyle w:val="Heading2"/>
      </w:pPr>
      <w:r>
        <w:t>8.1 Interface, escalation, and decision rights</w:t>
      </w:r>
    </w:p>
    <w:p>
      <w:pPr>
        <w:spacing w:line="480" w:lineRule="auto"/>
      </w:pPr>
      <w:r>
        <w:t>A finding should show text, heading, page, nearby context, definitions, referenced provisions, and attachments. State which policy triggered the flag, extracted facts, and missing context. An explanation is useful only if faithful. Avoid authoritative-looking colors or scores without documented meaning. Let reviewers mark findings relevant, irrelevant, unresolved, or out of scope; correct facts; escalate; and record a rationale. Overrides should be easy and visible.</w:t>
      </w:r>
    </w:p>
    <w:p>
      <w:pPr>
        <w:spacing w:line="480" w:lineRule="auto"/>
      </w:pPr>
      <w:r>
        <w:t>Escalate low confidence, incomplete evidence, conflicting provisions, rare/high-severity categories, novelty, or questions requiring legal interpretation. Abstain when source quality is insufficient or policy is missing/out of scope. Name the responsible role and response expectation. Human oversight is meaningful only when the reviewer has expertise, time, source access, and authority to disagree. Sample unflagged text and train users to detect failure modes; a nominal sign-off is not effective oversight.</w:t>
      </w:r>
    </w:p>
    <w:p>
      <w:pPr>
        <w:pStyle w:val="Heading1"/>
      </w:pPr>
      <w:r>
        <w:t>9. Privacy, security, and governance</w:t>
      </w:r>
    </w:p>
    <w:p>
      <w:pPr>
        <w:spacing w:line="480" w:lineRule="auto"/>
      </w:pPr>
      <w:r>
        <w:t>Contracts contain confidential terms, personal information, trade secrets, security details, and privileged communications. Classify the data, define an authorized purpose, select an approved environment, and confirm constraints before processing. Third-party processing raises disclosure, retention, jurisdiction, and secondary-use questions. These are architecture decisions as much as model-selection questions.</w:t>
      </w:r>
    </w:p>
    <w:p>
      <w:pPr>
        <w:pStyle w:val="Heading2"/>
      </w:pPr>
      <w:r>
        <w:t>9.1 Data minimization and access</w:t>
      </w:r>
    </w:p>
    <w:p>
      <w:pPr>
        <w:spacing w:line="480" w:lineRule="auto"/>
      </w:pPr>
      <w:r>
        <w:t>Collect only what the task requires. Redact or tokenize identifiers where feasible, retaining a controlled mapping for authorized reviewers. Apply matter-level permissions, encryption, tenant separation, least privilege, and secure deletion. Log access and export. Keep contract text out of general telemetry or training pipelines without an approved basis. Vendor review should cover retention, subprocessors, breach notice, training use, hosting region, and deletion evidence.</w:t>
      </w:r>
    </w:p>
    <w:p>
      <w:pPr>
        <w:pStyle w:val="Heading2"/>
      </w:pPr>
      <w:r>
        <w:t>9.2 Confidentiality, privilege, and retention</w:t>
      </w:r>
    </w:p>
    <w:p>
      <w:pPr>
        <w:spacing w:line="480" w:lineRule="auto"/>
      </w:pPr>
      <w:r>
        <w:t>Preserve confidentiality labels and matter boundaries in summaries and embeddings. A vector index can reveal sensitive content and needs source-level protection. Align retention with legal hold and records schedules; delete from indexes, caches, and backups under documented procedures. Whether a disclosure affects privilege is a legal question for counsel in its jurisdiction and context, not a technical assumption.</w:t>
      </w:r>
    </w:p>
    <w:p>
      <w:pPr>
        <w:pStyle w:val="Heading2"/>
      </w:pPr>
      <w:r>
        <w:t>9.3 Model and policy governance</w:t>
      </w:r>
    </w:p>
    <w:p>
      <w:pPr>
        <w:spacing w:line="480" w:lineRule="auto"/>
      </w:pPr>
      <w:r>
        <w:t>Inventory models, prompts, services, data, policies, and use cases. Version each model and playbook, record intended and prohibited uses, document validation, and define release approvals. Monitor document sources, clause prevalence, OCR quality, and errors. Track provider changes. The NIST AI RMF organizes risk management around Govern, Map, Measure, and Manage and offers a voluntary structure (NIST, 2023); it does not replace legal obligations or local controls.</w:t>
      </w:r>
    </w:p>
    <w:p>
      <w:pPr>
        <w:spacing w:line="480" w:lineRule="auto"/>
      </w:pPr>
      <w:r>
        <w:t>Incident procedures should cover exposure, incorrect high-impact outputs, outages, unauthorized access, and policy configuration errors. Teams need to suspend automation, preserve evidence, notify owners, remediate affected matters, and determine whether re-review is needed. A system card should describe intended use, evaluation conditions, limitations, provenance, and escalation in plain language.</w:t>
      </w:r>
    </w:p>
    <w:p>
      <w:pPr>
        <w:pStyle w:val="Heading2"/>
      </w:pPr>
      <w:r>
        <w:t>9.4 Fairness, accessibility, jurisdictional coverage</w:t>
      </w:r>
    </w:p>
    <w:p>
      <w:pPr>
        <w:spacing w:line="480" w:lineRule="auto"/>
      </w:pPr>
      <w:r>
        <w:t>Performance may vary by writing style, language, industry, document size, or drafting standard, reflecting data and annotation choices. Evaluate meaningful slices while protecting confidentiality. For multilingual use, validate terminology and concepts with qualified reviewers; translation is not jurisdictional expertise. Support accessible navigation, keyboard use, and readable evidence displays.</w:t>
      </w:r>
    </w:p>
    <w:p>
      <w:pPr>
        <w:pStyle w:val="Heading1"/>
      </w:pPr>
      <w:r>
        <w:t>10. Implementation considerations</w:t>
      </w:r>
    </w:p>
    <w:p>
      <w:pPr>
        <w:pStyle w:val="Heading2"/>
      </w:pPr>
      <w:r>
        <w:t>10.1 Frame the problem</w:t>
      </w:r>
    </w:p>
    <w:p>
      <w:pPr>
        <w:spacing w:line="480" w:lineRule="auto"/>
      </w:pPr>
      <w:r>
        <w:t>Start with a defined review question and decision owner. Map intake volume, formats, reviewers, bottlenecks, playbooks, escalations, and existing controls. Decide whether the need is search, extraction, comparison, deadline tracking, or summary. A narrow, measurable task is easier to validate than a general risk score. Engage legal, procurement, security, privacy, records, IT, and business stakeholders.</w:t>
      </w:r>
    </w:p>
    <w:p>
      <w:pPr>
        <w:pStyle w:val="Heading2"/>
      </w:pPr>
      <w:r>
        <w:t>10.2 Data and annotation</w:t>
      </w:r>
    </w:p>
    <w:p>
      <w:pPr>
        <w:spacing w:line="480" w:lineRule="auto"/>
      </w:pPr>
      <w:r>
        <w:t>Local validation needs representative agreements, including amendments and difficult cases. Define the unit, labels, inclusion/exclusion, ambiguity handling, and adjudication. Annotators must distinguish text identification from policy judgment. Record policy version and context for the latter. Double-annotate or adjudicate a meaningful subset. Segregate evaluation data from production access and minimize confidential copies.</w:t>
      </w:r>
    </w:p>
    <w:p>
      <w:pPr>
        <w:pStyle w:val="Heading2"/>
      </w:pPr>
      <w:r>
        <w:t>10.3 Integration and operations</w:t>
      </w:r>
    </w:p>
    <w:p>
      <w:pPr>
        <w:spacing w:line="480" w:lineRule="auto"/>
      </w:pPr>
      <w:r>
        <w:t>Integrate with contract-management systems only after testing identity matching, version selection, permissions, audit trails, and recovery. Results should not automatically change executed agreements, send notices, or accept terms without explicit authorization. Preserve source, model output, policy version, and reviewer decision. Plan outages, provider changes, and a manual fallback.</w:t>
      </w:r>
    </w:p>
    <w:p>
      <w:pPr>
        <w:pStyle w:val="Heading2"/>
      </w:pPr>
      <w:r>
        <w:t>10.4 Change management and value</w:t>
      </w:r>
    </w:p>
    <w:p>
      <w:pPr>
        <w:spacing w:line="480" w:lineRule="auto"/>
      </w:pPr>
      <w:r>
        <w:t>Adoption depends on trust and workflow fit. Train reviewers on capabilities, limits, override, and escalation. Measure precision/recall alongside review completeness, time, correction, and downstream rework against a baseline. Account for effort validating citations and handling false alerts. More generated text is not necessarily value. Set change triggers for a new model, policy, genre, OCR vendor, jurisdiction, drift, or incident. Retire categories lacking evidence rather than implying broad coverage.</w:t>
      </w:r>
    </w:p>
    <w:p>
      <w:pPr>
        <w:pStyle w:val="Heading2"/>
      </w:pPr>
      <w:r>
        <w:t>10.5 A staged implementation roadmap</w:t>
      </w:r>
    </w:p>
    <w:p>
      <w:pPr>
        <w:spacing w:line="480" w:lineRule="auto"/>
      </w:pPr>
      <w:r>
        <w:t>A staged rollout reduces uncertainty and makes ownership visible. In discovery, select a task such as locating a defined class of renewal or liability provisions, specify users and decision rights, and inventory data constraints. In a design phase, create an annotation guide, agree a risk taxonomy, establish a policy owner, and decide what evidence the interface must display. These decisions should precede model procurement because they determine how outputs will be judged.</w:t>
      </w:r>
    </w:p>
    <w:p>
      <w:pPr>
        <w:spacing w:line="480" w:lineRule="auto"/>
      </w:pPr>
      <w:r>
        <w:t>In a development phase, establish a simple baseline and a representative test set. Measure ingestion quality separately from model performance. Evaluate on grouped contracts and include difficult examples such as amendments, tables, cross-references, and incomplete scans. Review false positives and false negatives with practitioners. If the task depends on local policy, encode the comparator explicitly and version it. Do not let a model infer unstated policy from prior deal decisions without governance.</w:t>
      </w:r>
    </w:p>
    <w:p>
      <w:pPr>
        <w:spacing w:line="480" w:lineRule="auto"/>
      </w:pPr>
      <w:r>
        <w:t>A shadow phase can run outputs alongside ordinary review, hidden from decision-makers or clearly identified as experimental. This gives an initial account of coverage and error without changing contract decisions. A controlled pilot can then present evidence to trained users, collect dispositions, and monitor whether reviewers catch unsupported output. Entry criteria, stop conditions, incident owners, and fallback procedures should be agreed before the pilot begins.</w:t>
      </w:r>
    </w:p>
    <w:p>
      <w:pPr>
        <w:spacing w:line="480" w:lineRule="auto"/>
      </w:pPr>
      <w:r>
        <w:t>Expansion should be category-by-category and organization-by-organization. A system that works for one standard agreement should not automatically be treated as suitable for a new jurisdiction, product, or language. Each expansion may need fresh examples, separate thresholds, renewed privacy review, and specific user training. Decommissioning is also part of the lifecycle: preserve records needed for audit, revoke access, delete derived data when required, and ensure ordinary review continues.</w:t>
      </w:r>
    </w:p>
    <w:p>
      <w:pPr>
        <w:pStyle w:val="Heading2"/>
      </w:pPr>
      <w:r>
        <w:t>10.6 Procurement and vendor assessment</w:t>
      </w:r>
    </w:p>
    <w:p>
      <w:pPr>
        <w:spacing w:line="480" w:lineRule="auto"/>
      </w:pPr>
      <w:r>
        <w:t>When acquiring a product, ask vendors to define each output, its supporting evidence, known limitations, evaluation population, and change process. Request task-level validation details rather than a broad accuracy claim. Determine whether customer documents or corrections are used for model improvement; how retrieval indexes are isolated; what subprocessors receive; where data are processed; and how deletion is verified. Contractual commitments should cover confidentiality, security, retention, incident notice, auditability, service continuity, and change notification.</w:t>
      </w:r>
    </w:p>
    <w:p>
      <w:pPr>
        <w:spacing w:line="480" w:lineRule="auto"/>
      </w:pPr>
      <w:r>
        <w:t>A product demonstration is not an evaluation. Select a blinded, representative set of agreements and independently check output against expert review. Include hard cases and clauses that are absent or negated, test citations against original pages, and check whether policy versions are correct. Record product and model versions, settings, and dates so comparisons are reproducible. If the vendor cannot explain a claim or support an independent test, treat the evidence as incomplete.</w:t>
      </w:r>
    </w:p>
    <w:p>
      <w:pPr>
        <w:pStyle w:val="Heading1"/>
      </w:pPr>
      <w:r>
        <w:t>11. Practical interpretation of selected review tasks</w:t>
      </w:r>
    </w:p>
    <w:p>
      <w:pPr>
        <w:pStyle w:val="Heading2"/>
      </w:pPr>
      <w:r>
        <w:t>11.1 Clause presence and absence</w:t>
      </w:r>
    </w:p>
    <w:p>
      <w:pPr>
        <w:spacing w:line="480" w:lineRule="auto"/>
      </w:pPr>
      <w:r>
        <w:t>Presence detection asks whether a provision appears; absence detection asks whether it is missing. These are not symmetric. To establish absence, the system must have searched a complete and correctly identified document set, including schedules and amendments. Failure to retrieve a clause is not proof that the clause is absent. A safer output says “not located in the supplied documents” and reports document completeness and search scope. The reviewer can then determine whether the contract omitted the term or whether the file set is incomplete.</w:t>
      </w:r>
    </w:p>
    <w:p>
      <w:pPr>
        <w:pStyle w:val="Heading2"/>
      </w:pPr>
      <w:r>
        <w:t>11.2 Deviation from playbook</w:t>
      </w:r>
    </w:p>
    <w:p>
      <w:pPr>
        <w:spacing w:line="480" w:lineRule="auto"/>
      </w:pPr>
      <w:r>
        <w:t>Deviation analysis compares contractual text with an organization-approved fallback position. The playbook should distinguish preferred terms, acceptable alternatives, escalation thresholds, and prohibited positions. These levels must be explicit and scoped by contract type, jurisdiction, transaction size, and business unit. A machine can identify a mismatch and retrieve an approved alternative, but the playbook may be outdated or inconsistent. Governance requires an owner, approval workflow, effective date, and a method for handling exceptions and contradictory guidance.</w:t>
      </w:r>
    </w:p>
    <w:p>
      <w:pPr>
        <w:spacing w:line="480" w:lineRule="auto"/>
      </w:pPr>
      <w:r>
        <w:t>A “standard” clause can still be risky in context, and a non-standard clause can be acceptable with a compensating safeguard. A useful comparison explains which requirement differs and whether a related provision offsets it. For example, a longer notice period might be balanced by termination for cause, or a narrower warranty may be accompanied by a stronger service credit. The system should expose related language and avoid treating independent clauses as isolated binary tests.</w:t>
      </w:r>
    </w:p>
    <w:p>
      <w:pPr>
        <w:pStyle w:val="Heading2"/>
      </w:pPr>
      <w:r>
        <w:t>11.3 Obligations, dates, and dependencies</w:t>
      </w:r>
    </w:p>
    <w:p>
      <w:pPr>
        <w:spacing w:line="480" w:lineRule="auto"/>
      </w:pPr>
      <w:r>
        <w:t>Obligation extraction can support operational handoff by representing actor, action, object, deadline, condition, and evidence of completion. “Supplier shall notify Customer promptly after discovering an incident” contains an actor and action but leaves “promptly” open to interpretation. The system may flag the undefined timing for policy comparison, yet should not replace it with a numeric deadline that the text does not contain. Dates should be normalized with timezone and event context where relevant, and not confused with the agreement’s signature date or an exhibit’s effective date.</w:t>
      </w:r>
    </w:p>
    <w:p>
      <w:pPr>
        <w:spacing w:line="480" w:lineRule="auto"/>
      </w:pPr>
      <w:r>
        <w:t>Dependencies matter: an obligation may apply only after a customer supplies information, after acceptance, or while a renewal is active. A reminder system should retain the triggering condition and source location rather than create an unconditional task. If the agreement is amended, affected obligations and alerts may need updating. Integration should therefore preserve linkage to document version and ask for human confirmation when an amendment changes the operative term.</w:t>
      </w:r>
    </w:p>
    <w:p>
      <w:pPr>
        <w:pStyle w:val="Heading2"/>
      </w:pPr>
      <w:r>
        <w:t>11.4 Negative findings and completeness</w:t>
      </w:r>
    </w:p>
    <w:p>
      <w:pPr>
        <w:spacing w:line="480" w:lineRule="auto"/>
      </w:pPr>
      <w:r>
        <w:t>Reviewers may ask whether a contract contains no data-use right, no convenience termination right, or no cap carve-out. Negative findings require a defined search space and a coverage statement. Search failure, OCR omissions, or an uncaptured attachment can create false assurance. Systems should distinguish “not found” from “verified absent” and explain the documents and clause families examined. Completeness should be an explicit workflow metric, not an assumed property.</w:t>
      </w:r>
    </w:p>
    <w:p>
      <w:pPr>
        <w:pStyle w:val="Heading1"/>
      </w:pPr>
      <w:r>
        <w:t>12. Limitations</w:t>
      </w:r>
    </w:p>
    <w:p>
      <w:pPr>
        <w:spacing w:line="480" w:lineRule="auto"/>
      </w:pPr>
      <w:r>
        <w:t>This draft has substantial limitations. First, it is a narrative review with bounded sources, not an exhaustive or registered systematic review. It lacks complete search, screening counts, and formal quality appraisal. Complete Section 3 before making stronger coverage claims. Second, public benchmarks reflect selected jurisdictions, sources, and labels; the synthesis cannot establish performance on a private contract portfolio.</w:t>
      </w:r>
    </w:p>
    <w:p>
      <w:pPr>
        <w:spacing w:line="480" w:lineRule="auto"/>
      </w:pPr>
      <w:r>
        <w:t>Third, there are no original experiments, data analyses, participant studies, or measured operational outcomes. The taxonomy, comparison dimensions, and architecture are conceptual recommendations and need testing with experts and representative contracts. Fourth, law and governance vary over time and place; verify current requirements for the intended setting before publication or use.</w:t>
      </w:r>
    </w:p>
    <w:p>
      <w:pPr>
        <w:spacing w:line="480" w:lineRule="auto"/>
      </w:pPr>
      <w:r>
        <w:t>Fifth, technical literature evolves quickly, especially for generative systems. This is not an exhaustive survey of current tools. A journal-ready paper should add recent peer-reviewed evidence from the completed protocol and check metadata against authoritative records. Published benchmark metrics may not align with organizational harms or contextual acceptability; “accuracy” without task and conditions is insufficient.</w:t>
      </w:r>
    </w:p>
    <w:p>
      <w:pPr>
        <w:spacing w:line="480" w:lineRule="auto"/>
      </w:pPr>
      <w:r>
        <w:t>Finally, the framing is general commercial contracting. It is not jurisdiction-specific advice, compliance determination, or a recommendation to accept any clause. Consumer, public procurement, employment, healthcare, construction, financial services, and non-English agreements may require major adaptation.</w:t>
      </w:r>
    </w:p>
    <w:p>
      <w:pPr>
        <w:pStyle w:val="Heading1"/>
      </w:pPr>
      <w:r>
        <w:t>13. Future research</w:t>
      </w:r>
    </w:p>
    <w:p>
      <w:pPr>
        <w:pStyle w:val="Heading2"/>
      </w:pPr>
      <w:r>
        <w:t>13.1 Better task definitions and labels</w:t>
      </w:r>
    </w:p>
    <w:p>
      <w:pPr>
        <w:spacing w:line="480" w:lineRule="auto"/>
      </w:pPr>
      <w:r>
        <w:t>Separate candidate retrieval, factual extraction, policy comparison, and legal evaluation. Annotation can include evidence spans, links, confidence, disagreement, policy provenance, and materiality rationale. Multiple expert annotators can reveal stable categories and reasonable interpretive divergence. Shared guidance and richer dataset documentation improve comparability.</w:t>
      </w:r>
    </w:p>
    <w:p>
      <w:pPr>
        <w:pStyle w:val="Heading2"/>
      </w:pPr>
      <w:r>
        <w:t>13.2 Generalization and realistic evaluation</w:t>
      </w:r>
    </w:p>
    <w:p>
      <w:pPr>
        <w:spacing w:line="480" w:lineRule="auto"/>
      </w:pPr>
      <w:r>
        <w:t>Use grouped, temporal, and external test sets that approximate deployment. Report genre, prevalence, document quality, language, and source slices where ethical. Study rare-risk performance, calibrated abstention, and human outcomes alongside average F1. Prospective work should measure review completeness, decision quality, and workload rather than infer them from offline benchmarks.</w:t>
      </w:r>
    </w:p>
    <w:p>
      <w:pPr>
        <w:pStyle w:val="Heading2"/>
      </w:pPr>
      <w:r>
        <w:t>13.3 Long-document and cross-clause reasoning</w:t>
      </w:r>
    </w:p>
    <w:p>
      <w:pPr>
        <w:spacing w:line="480" w:lineRule="auto"/>
      </w:pPr>
      <w:r>
        <w:t>Operative meaning spans sections and attachments. Evaluate entity resolution, definition linking, amendment precedence, conflicts, time reasoning, and support for negative findings. Test whether long-context models and retrieval preserve exceptions and connect evidence. Evaluate explanations as supported propositions, not only language quality.</w:t>
      </w:r>
    </w:p>
    <w:p>
      <w:pPr>
        <w:pStyle w:val="Heading2"/>
      </w:pPr>
      <w:r>
        <w:t>13.4 Privacy, multilingual work, and human factors</w:t>
      </w:r>
    </w:p>
    <w:p>
      <w:pPr>
        <w:spacing w:line="480" w:lineRule="auto"/>
      </w:pPr>
      <w:r>
        <w:t>Confidentiality constrains corpus sharing. Privacy-preserving annotation, secure evaluation, and federated methods may help but need scrutiny for leakage and representativeness. Multilingual research should include local legal expertise and distinguish translation from legal equivalence. Study automation bias, alert fatigue, override behavior, and whether evidence displays improve challenge and decision quality. Governance work should examine monitoring, version control, and incident response in deployment.</w:t>
      </w:r>
    </w:p>
    <w:p>
      <w:pPr>
        <w:pStyle w:val="Heading1"/>
      </w:pPr>
      <w:r>
        <w:t>14. Conclusion</w:t>
      </w:r>
    </w:p>
    <w:p>
      <w:pPr>
        <w:spacing w:line="480" w:lineRule="auto"/>
      </w:pPr>
      <w:r>
        <w:t>Machine learning can make contract review more searchable, structured, and consistent when tasks are bounded and evidence remains reviewable. CUAD and LEDGAR, along with domain-adapted language models such as LEGAL-BERT, provide foundations for selected extraction and classification tasks. They do not establish universal performance or automate contextual judgment. Risk depends on policy, transaction, jurisdiction, completeness, and linked provisions.</w:t>
      </w:r>
    </w:p>
    <w:p>
      <w:pPr>
        <w:spacing w:line="480" w:lineRule="auto"/>
      </w:pPr>
      <w:r>
        <w:t>A sound system combines source-preserving ingestion, structure-aware retrieval, suitable extraction, versioned policy comparison, evidence-linked explanation, calibrated uncertainty, and human disposition. Evaluation should reflect asymmetric harms, realistic splits, external validity, and reviewer outcomes. Privacy, access, retention, governance, and incident response belong in the design. The proposed taxonomy and architecture are a starting point; the author-completion protocol identifies what remains before this draft can claim systematic coverage or empirical validation.</w:t>
      </w:r>
    </w:p>
    <w:p>
      <w:pPr>
        <w:pStyle w:val="Heading1"/>
      </w:pPr>
      <w:r>
        <w:t>References</w:t>
      </w:r>
    </w:p>
    <w:p>
      <w:pPr>
        <w:spacing w:line="276" w:lineRule="auto" w:after="140"/>
        <w:ind w:left="432" w:hanging="432"/>
      </w:pPr>
      <w:r>
        <w:t>Atticus Project. (n.d.). Contract Understanding Atticus Dataset (CUAD). https://www.atticusprojectai.org/cuad/ (Dataset documentation; accessed 3 October 2026).</w:t>
      </w:r>
    </w:p>
    <w:p>
      <w:pPr>
        <w:spacing w:line="276" w:lineRule="auto" w:after="140"/>
        <w:ind w:left="432" w:hanging="432"/>
      </w:pPr>
      <w:r>
        <w:t>Chalkidis, I., Fergadiotis, M., Malakasiotis, P., Aletras, N., &amp; Androutsopoulos, I. (2020). LEGAL-BERT: The Muppets straight out of Law School. Findings of the Association for Computational Linguistics: EMNLP 2020, 2898-2904. https://doi.org/10.18653/v1/2020.findings-emnlp.261</w:t>
      </w:r>
    </w:p>
    <w:p>
      <w:pPr>
        <w:spacing w:line="276" w:lineRule="auto" w:after="140"/>
        <w:ind w:left="432" w:hanging="432"/>
      </w:pPr>
      <w:r>
        <w:t>Dikmen, I., Eken, G., Erol, H., &amp; Birgonul, M. T. (2025). Automated construction contract analysis for risk and responsibility assessment using natural language processing and machine learning. Computers in Industry, 166, 104251. https://doi.org/10.1016/j.compind.2025.104251</w:t>
      </w:r>
    </w:p>
    <w:p>
      <w:pPr>
        <w:spacing w:line="276" w:lineRule="auto" w:after="140"/>
        <w:ind w:left="432" w:hanging="432"/>
      </w:pPr>
      <w:r>
        <w:t>Hendrycks, D., Burns, C., Chen, A., &amp; Ball, S. (2021). CUAD: An expert-annotated NLP dataset for legal contract review. Advances in Neural Information Processing Systems: Datasets and Benchmarks Track. https://arxiv.org/abs/2103.06268</w:t>
      </w:r>
    </w:p>
    <w:p>
      <w:pPr>
        <w:spacing w:line="276" w:lineRule="auto" w:after="140"/>
        <w:ind w:left="432" w:hanging="432"/>
      </w:pPr>
      <w:r>
        <w:t>National Institute of Standards and Technology. (2023). Artificial Intelligence Risk Management Framework (AI RMF 1.0) (NIST AI 100-1). https://doi.org/10.6028/NIST.AI.100-1</w:t>
      </w:r>
    </w:p>
    <w:p>
      <w:pPr>
        <w:spacing w:line="276" w:lineRule="auto" w:after="140"/>
        <w:ind w:left="432" w:hanging="432"/>
      </w:pPr>
      <w:r>
        <w:t>Tuggener, D., von Däniken, P., Peetz, T., &amp; Cieliebak, M. (2020). LEDGAR: A large-scale multi-label corpus for text classification of legal provisions in contracts. Proceedings of the 12th Language Resources and Evaluation Conference, 1235-1241. https://aclanthology.org/2020.lrec-1.155/</w:t>
      </w:r>
    </w:p>
    <w:p>
      <w:pPr>
        <w:pStyle w:val="Heading1"/>
      </w:pPr>
      <w:r>
        <w:t>Appendix A. Author completion checklist</w:t>
      </w:r>
    </w:p>
    <w:p>
      <w:pPr>
        <w:spacing w:line="336" w:lineRule="auto"/>
      </w:pPr>
      <w:r>
        <w:t>[ ] Complete and archive actual search strings, dates, filters, and record counts.</w:t>
      </w:r>
    </w:p>
    <w:p>
      <w:pPr>
        <w:spacing w:line="336" w:lineRule="auto"/>
      </w:pPr>
      <w:r>
        <w:t>[ ] Document screening decisions, exclusions, extraction fields, and synthesis procedure.</w:t>
      </w:r>
    </w:p>
    <w:p>
      <w:pPr>
        <w:spacing w:line="336" w:lineRule="auto"/>
      </w:pPr>
      <w:r>
        <w:t>[ ] Verify every citation, DOI, page range, dataset description, and access date against authoritative records.</w:t>
      </w:r>
    </w:p>
    <w:p>
      <w:pPr>
        <w:spacing w:line="336" w:lineRule="auto"/>
      </w:pPr>
      <w:r>
        <w:t>[ ] Add author, affiliation, contact, acknowledgments, funding, and conflicts statements as applicable.</w:t>
      </w:r>
    </w:p>
    <w:p>
      <w:pPr>
        <w:spacing w:line="336" w:lineRule="auto"/>
      </w:pPr>
      <w:r>
        <w:t>[ ] Confirm journal scope, review format, length, citation style, table rules, and ethics statements.</w:t>
      </w:r>
    </w:p>
    <w:p>
      <w:pPr>
        <w:spacing w:line="336" w:lineRule="auto"/>
      </w:pPr>
      <w:r>
        <w:t>[ ] Check and follow current journal AI-assistance disclosure and authorship rules; disclose accurately when required.</w:t>
      </w:r>
    </w:p>
    <w:p>
      <w:pPr>
        <w:spacing w:line="336" w:lineRule="auto"/>
      </w:pPr>
      <w:r>
        <w:t>[ ] Ask qualified legal and domain reviewers to assess taxonomy and jurisdictional framing.</w:t>
      </w:r>
    </w:p>
    <w:p>
      <w:pPr>
        <w:spacing w:line="336" w:lineRule="auto"/>
      </w:pPr>
      <w:r>
        <w:t>[ ] Add empirical claims only with actual data, methods, relevant approvals, analysis, and reproducible results.</w:t>
      </w:r>
    </w:p>
    <w:p>
      <w:pPr>
        <w:pStyle w:val="Heading1"/>
      </w:pPr>
      <w:r>
        <w:t>Appendix B. Suggested study extraction form</w:t>
      </w:r>
    </w:p>
    <w:tbl>
      <w:tblPr>
        <w:tblStyle w:val="TableGrid"/>
        <w:tblW w:type="auto" w:w="0"/>
        <w:jc w:val="center"/>
        <w:tblLook w:firstColumn="1" w:firstRow="1" w:lastColumn="0" w:lastRow="0" w:noHBand="0" w:noVBand="1" w:val="04A0"/>
      </w:tblPr>
      <w:tblGrid>
        <w:gridCol w:w="4680"/>
        <w:gridCol w:w="4680"/>
      </w:tblGrid>
      <w:tr>
        <w:tc>
          <w:tcPr>
            <w:tcW w:type="dxa" w:w="4680"/>
            <w:shd w:fill="D9E6F2"/>
          </w:tcPr>
          <w:p>
            <w:pPr>
              <w:spacing w:line="252" w:lineRule="auto" w:after="40"/>
            </w:pPr>
            <w:r>
              <w:rPr>
                <w:rFonts w:ascii="Times New Roman" w:hAnsi="Times New Roman"/>
                <w:sz w:val="18"/>
              </w:rPr>
              <w:t>Field</w:t>
            </w:r>
          </w:p>
        </w:tc>
        <w:tc>
          <w:tcPr>
            <w:tcW w:type="dxa" w:w="4680"/>
            <w:shd w:fill="D9E6F2"/>
          </w:tcPr>
          <w:p>
            <w:pPr>
              <w:spacing w:line="252" w:lineRule="auto" w:after="40"/>
            </w:pPr>
            <w:r>
              <w:rPr>
                <w:rFonts w:ascii="Times New Roman" w:hAnsi="Times New Roman"/>
                <w:sz w:val="18"/>
              </w:rPr>
              <w:t>Record</w:t>
            </w:r>
          </w:p>
        </w:tc>
      </w:tr>
      <w:tr>
        <w:tc>
          <w:tcPr>
            <w:tcW w:type="dxa" w:w="4680"/>
          </w:tcPr>
          <w:p>
            <w:pPr>
              <w:spacing w:line="252" w:lineRule="auto" w:after="40"/>
            </w:pPr>
            <w:r>
              <w:rPr>
                <w:rFonts w:ascii="Times New Roman" w:hAnsi="Times New Roman"/>
                <w:sz w:val="18"/>
              </w:rPr>
              <w:t>Citation and stable identifier</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Evidence type / peer-review status</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Jurisdiction, language, contract genre</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Data source, size, unit, time span</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Task, labels, annotation protocol</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Model and baseline</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Split and leakage controls</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Metrics and uncertainty</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External or temporal evaluation</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Error analysis and human evaluation</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Privacy and governance</w:t>
            </w:r>
          </w:p>
        </w:tc>
        <w:tc>
          <w:tcPr>
            <w:tcW w:type="dxa" w:w="4680"/>
          </w:tcPr>
          <w:p>
            <w:pPr>
              <w:spacing w:line="252" w:lineRule="auto" w:after="40"/>
            </w:pPr>
            <w:r>
              <w:rPr>
                <w:rFonts w:ascii="Times New Roman" w:hAnsi="Times New Roman"/>
                <w:sz w:val="18"/>
              </w:rPr>
            </w:r>
          </w:p>
        </w:tc>
      </w:tr>
      <w:tr>
        <w:tc>
          <w:tcPr>
            <w:tcW w:type="dxa" w:w="4680"/>
          </w:tcPr>
          <w:p>
            <w:pPr>
              <w:spacing w:line="252" w:lineRule="auto" w:after="40"/>
            </w:pPr>
            <w:r>
              <w:rPr>
                <w:rFonts w:ascii="Times New Roman" w:hAnsi="Times New Roman"/>
                <w:sz w:val="18"/>
              </w:rPr>
              <w:t>Limitations and availability</w:t>
            </w:r>
          </w:p>
        </w:tc>
        <w:tc>
          <w:tcPr>
            <w:tcW w:type="dxa" w:w="4680"/>
          </w:tcPr>
          <w:p>
            <w:pPr>
              <w:spacing w:line="252" w:lineRule="auto" w:after="40"/>
            </w:pPr>
            <w:r>
              <w:rPr>
                <w:rFonts w:ascii="Times New Roman" w:hAnsi="Times New Roman"/>
                <w:sz w:val="18"/>
              </w:rPr>
            </w:r>
          </w:p>
        </w:tc>
      </w:tr>
    </w:tbl>
    <w:p/>
    <w:p>
      <w:pPr>
        <w:pStyle w:val="Heading1"/>
      </w:pPr>
      <w:r>
        <w:t>Appendix C. Example structured finding schema</w:t>
      </w:r>
    </w:p>
    <w:p>
      <w:pPr>
        <w:spacing w:line="480" w:lineRule="auto"/>
      </w:pPr>
      <w:r>
        <w:t>Proposed fields (not a finding about any actual contract): finding ID; document ID and version; risk category; source span and page; related spans; party; obligation or right; trigger; duration; exception; policy ID and version; extracted facts; comparison result; model/prompt version; task confidence; missing context; reviewer role; disposition; rationale; and timestamp. Preserve immutable source references and distinguish generated fields from reviewer-confirmed fields.</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Narrative literature review draft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E78"/>
        <w:sz w:val="16"/>
      </w:rPr>
      <w:t>MACHINE LEARNING FOR CONTRACT RISK ASSESSMENT  |  AUTHOR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pPr>
    <w:rPr>
      <w:rFonts w:ascii="Times New Roman" w:hAnsi="Times New Roman"/>
      <w:color w:val="19233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line="276" w:lineRule="auto"/>
      <w:outlineLvl w:val="0"/>
    </w:pPr>
    <w:rPr>
      <w:rFonts w:asciiTheme="majorHAnsi" w:eastAsiaTheme="majorEastAsia" w:hAnsiTheme="majorHAnsi" w:cstheme="majorBidi" w:ascii="Times New Roman" w:hAnsi="Times New Roman"/>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80" w:after="80" w:line="276" w:lineRule="auto"/>
      <w:outlineLvl w:val="1"/>
    </w:pPr>
    <w:rPr>
      <w:rFonts w:asciiTheme="majorHAnsi" w:eastAsiaTheme="majorEastAsia" w:hAnsiTheme="majorHAnsi" w:cstheme="majorBidi" w:ascii="Times New Roman" w:hAnsi="Times New Roman"/>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80" w:after="80" w:line="276" w:lineRule="auto"/>
      <w:outlineLvl w:val="2"/>
    </w:pPr>
    <w:rPr>
      <w:rFonts w:asciiTheme="majorHAnsi" w:eastAsiaTheme="majorEastAsia" w:hAnsiTheme="majorHAnsi" w:cstheme="majorBidi" w:ascii="Times New Roman" w:hAnsi="Times New Roman"/>
      <w:b/>
      <w:bCs/>
      <w:color w:val="17365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76" w:lineRule="auto" w:before="280"/>
      <w:contextualSpacing/>
    </w:pPr>
    <w:rPr>
      <w:rFonts w:asciiTheme="majorHAnsi" w:eastAsiaTheme="majorEastAsia" w:hAnsiTheme="majorHAnsi" w:cstheme="majorBidi" w:ascii="Times New Roman" w:hAnsi="Times New Roman"/>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 Learning Approaches for Automated Contract Risk Assessment</dc:title>
  <dc:subject>Narrative literature review and proposed human-guided framework</dc:subject>
  <dc:creator>Author completion required</dc:creator>
  <cp:keywords>contract analytics, legal NLP, machine learning, risk assessment</cp:keywords>
  <dc:description>generated by python-docx</dc:description>
  <cp:lastModifiedBy/>
  <cp:revision>1</cp:revision>
  <dcterms:created xsi:type="dcterms:W3CDTF">2013-12-23T23:15:00Z</dcterms:created>
  <dcterms:modified xsi:type="dcterms:W3CDTF">2013-12-23T23:15:00Z</dcterms:modified>
  <cp:category/>
</cp:coreProperties>
</file>