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5923" w:rsidRPr="00F36C89" w:rsidRDefault="00715923">
      <w:pPr>
        <w:spacing w:after="400"/>
        <w:rPr>
          <w:sz w:val="32"/>
          <w:szCs w:val="32"/>
        </w:rPr>
      </w:pPr>
    </w:p>
    <w:p w:rsidR="00715923" w:rsidRPr="00F36C89" w:rsidRDefault="007E7FEE">
      <w:pPr>
        <w:spacing w:after="240"/>
        <w:jc w:val="center"/>
        <w:rPr>
          <w:sz w:val="32"/>
          <w:szCs w:val="32"/>
        </w:rPr>
      </w:pPr>
      <w:r w:rsidRPr="00F36C89">
        <w:rPr>
          <w:b/>
          <w:bCs/>
          <w:color w:val="1F3864"/>
          <w:sz w:val="40"/>
          <w:szCs w:val="40"/>
        </w:rPr>
        <w:t>Algorithmic News Literacy Among Indian Adolescents: A Multi-Site Cross-Sectional Study Protocol and Instrument Development Plan for Measuring News Exposure, Source Evaluation, Personalisation Awareness, Misinformation Susceptibility and Responsible Sharing</w:t>
      </w:r>
      <w:r w:rsidRPr="00F36C89">
        <w:rPr>
          <w:b/>
          <w:bCs/>
          <w:color w:val="1F3864"/>
          <w:sz w:val="40"/>
          <w:szCs w:val="40"/>
        </w:rPr>
        <w:t xml:space="preserve"> Behaviour Among Students in Classes IX and X</w:t>
      </w:r>
    </w:p>
    <w:p w:rsidR="00F36C89" w:rsidRDefault="00F36C89" w:rsidP="00F36C89">
      <w:pPr>
        <w:spacing w:after="80"/>
        <w:jc w:val="center"/>
        <w:rPr>
          <w:b/>
          <w:bCs/>
          <w:sz w:val="44"/>
          <w:szCs w:val="44"/>
        </w:rPr>
      </w:pPr>
    </w:p>
    <w:p w:rsidR="00F36C89" w:rsidRDefault="00F36C89" w:rsidP="00F36C89">
      <w:pPr>
        <w:spacing w:after="80"/>
        <w:jc w:val="center"/>
        <w:rPr>
          <w:b/>
          <w:bCs/>
          <w:sz w:val="44"/>
          <w:szCs w:val="44"/>
        </w:rPr>
      </w:pPr>
      <w:r>
        <w:rPr>
          <w:b/>
          <w:bCs/>
          <w:sz w:val="44"/>
          <w:szCs w:val="44"/>
        </w:rPr>
        <w:t xml:space="preserve">Author: - </w:t>
      </w:r>
    </w:p>
    <w:p w:rsidR="00F36C89" w:rsidRPr="00F36C89" w:rsidRDefault="00F36C89" w:rsidP="00F36C89">
      <w:pPr>
        <w:spacing w:after="80"/>
        <w:jc w:val="center"/>
        <w:rPr>
          <w:sz w:val="32"/>
          <w:szCs w:val="32"/>
        </w:rPr>
      </w:pPr>
      <w:r w:rsidRPr="00F36C89">
        <w:rPr>
          <w:b/>
          <w:bCs/>
          <w:sz w:val="36"/>
          <w:szCs w:val="36"/>
        </w:rPr>
        <w:t>Aryaveer Singh</w:t>
      </w:r>
    </w:p>
    <w:p w:rsidR="00F36C89" w:rsidRPr="00F36C89" w:rsidRDefault="00F36C89" w:rsidP="00F36C89">
      <w:pPr>
        <w:spacing w:after="120"/>
        <w:jc w:val="center"/>
        <w:rPr>
          <w:sz w:val="32"/>
          <w:szCs w:val="32"/>
        </w:rPr>
      </w:pPr>
      <w:r w:rsidRPr="00F36C89">
        <w:rPr>
          <w:sz w:val="28"/>
          <w:szCs w:val="28"/>
        </w:rPr>
        <w:t>Founder and CEO, GENESIS Foundation; Independent Student Researcher(aryaveers2011@gmail.com)</w:t>
      </w:r>
    </w:p>
    <w:p w:rsidR="00F36C89" w:rsidRPr="00F36C89" w:rsidRDefault="00F36C89" w:rsidP="00F36C89">
      <w:pPr>
        <w:spacing w:after="80"/>
        <w:rPr>
          <w:b/>
          <w:bCs/>
          <w:sz w:val="44"/>
          <w:szCs w:val="44"/>
        </w:rPr>
      </w:pPr>
    </w:p>
    <w:p w:rsidR="00F36C89" w:rsidRDefault="00F36C89" w:rsidP="00F36C89">
      <w:pPr>
        <w:spacing w:after="80"/>
        <w:jc w:val="center"/>
        <w:rPr>
          <w:b/>
          <w:bCs/>
          <w:sz w:val="36"/>
          <w:szCs w:val="36"/>
        </w:rPr>
      </w:pPr>
      <w:bookmarkStart w:id="0" w:name="_GoBack"/>
      <w:bookmarkEnd w:id="0"/>
    </w:p>
    <w:p w:rsidR="00715923" w:rsidRPr="00F36C89" w:rsidRDefault="007E7FEE">
      <w:pPr>
        <w:pStyle w:val="Heading1"/>
        <w:keepNext/>
        <w:pageBreakBefore/>
        <w:spacing w:before="320" w:after="160"/>
        <w:rPr>
          <w:sz w:val="32"/>
          <w:szCs w:val="32"/>
        </w:rPr>
      </w:pPr>
      <w:r w:rsidRPr="00F36C89">
        <w:rPr>
          <w:b/>
          <w:bCs/>
          <w:color w:val="1F3864"/>
          <w:sz w:val="40"/>
          <w:szCs w:val="40"/>
        </w:rPr>
        <w:lastRenderedPageBreak/>
        <w:t>Abstract</w:t>
      </w:r>
    </w:p>
    <w:p w:rsidR="00715923" w:rsidRPr="00F36C89" w:rsidRDefault="007E7FEE">
      <w:pPr>
        <w:spacing w:after="140"/>
        <w:jc w:val="both"/>
        <w:rPr>
          <w:sz w:val="32"/>
          <w:szCs w:val="32"/>
        </w:rPr>
      </w:pPr>
      <w:r w:rsidRPr="00F36C89">
        <w:rPr>
          <w:sz w:val="32"/>
          <w:szCs w:val="32"/>
        </w:rPr>
        <w:t xml:space="preserve">Adolescents increasingly encounter news through algorithmically ranked feeds on </w:t>
      </w:r>
      <w:r w:rsidRPr="00F36C89">
        <w:rPr>
          <w:sz w:val="32"/>
          <w:szCs w:val="32"/>
        </w:rPr>
        <w:t>video, messaging and social platforms rather than through mastheads, bulletins, or adult intermediaries. Ranking systems select and order what a young reader sees, yet the selection criteria are largely invisible, the sources are mixed, and fluent presenta</w:t>
      </w:r>
      <w:r w:rsidRPr="00F36C89">
        <w:rPr>
          <w:sz w:val="32"/>
          <w:szCs w:val="32"/>
        </w:rPr>
        <w:t>tion is no guarantee of accuracy or independence. Meaningful news literacy in this environment therefore extends well beyond knowing that misinformation exists. It includes understanding that feeds are personalised, being able to establish who produced a c</w:t>
      </w:r>
      <w:r w:rsidRPr="00F36C89">
        <w:rPr>
          <w:sz w:val="32"/>
          <w:szCs w:val="32"/>
        </w:rPr>
        <w:t>laim and why, verifying consequential claims against independent evidence, calibrating trust to evidence rather than to presentation, recognising privacy and targeting risks, and behaving responsibly before resharing. This paper develops an academically gr</w:t>
      </w:r>
      <w:r w:rsidRPr="00F36C89">
        <w:rPr>
          <w:sz w:val="32"/>
          <w:szCs w:val="32"/>
        </w:rPr>
        <w:t>ounded protocol for investigating these capacities among students in Classes IX and X in India. The proposed cross-sectional, multi-site survey uses a mixed-format instrument that combines objective knowledge items, self-reported competence, behavioural-fr</w:t>
      </w:r>
      <w:r w:rsidRPr="00F36C89">
        <w:rPr>
          <w:sz w:val="32"/>
          <w:szCs w:val="32"/>
        </w:rPr>
        <w:t>equency measures, scenario-based source-evaluation tasks, and a headline veracity discernment task. The conceptual model treats algorithmic news literacy as six related constructs: algorithmic and personalisation awareness, applied platform competence, sou</w:t>
      </w:r>
      <w:r w:rsidRPr="00F36C89">
        <w:rPr>
          <w:sz w:val="32"/>
          <w:szCs w:val="32"/>
        </w:rPr>
        <w:t>rce evaluation and verification, misinformation susceptibility, risk and ethical awareness, and responsible sharing behaviour. Device access, platform repertoire, language of news use, school context, and prior media-literacy instruction are treated as con</w:t>
      </w:r>
      <w:r w:rsidRPr="00F36C89">
        <w:rPr>
          <w:sz w:val="32"/>
          <w:szCs w:val="32"/>
        </w:rPr>
        <w:t>textual predictors, while news trust and self-rated confidence are examined as calibration variables rather than as straightforward indicators of literacy. The protocol specifies a realistic independent-student sampling strategy, pilot testing, translation</w:t>
      </w:r>
      <w:r w:rsidRPr="00F36C89">
        <w:rPr>
          <w:sz w:val="32"/>
          <w:szCs w:val="32"/>
        </w:rPr>
        <w:t xml:space="preserve"> procedures, content and construct validation, reliability analysis, ethical safeguards for minors consistent with Indian data-protection expectations, and an analysis plan that accounts for school clustering and multiple comparisons. It also supplies part</w:t>
      </w:r>
      <w:r w:rsidRPr="00F36C89">
        <w:rPr>
          <w:sz w:val="32"/>
          <w:szCs w:val="32"/>
        </w:rPr>
        <w:t>icipant materials, a complete draft questionnaire, and a variable-coding framework. No empirical findings are reported because primary data have not yet been collected. The study is designed to produce transparent, reproducible evidence about how Indian ad</w:t>
      </w:r>
      <w:r w:rsidRPr="00F36C89">
        <w:rPr>
          <w:sz w:val="32"/>
          <w:szCs w:val="32"/>
        </w:rPr>
        <w:t xml:space="preserve">olescents meet </w:t>
      </w:r>
      <w:r w:rsidRPr="00F36C89">
        <w:rPr>
          <w:sz w:val="32"/>
          <w:szCs w:val="32"/>
        </w:rPr>
        <w:lastRenderedPageBreak/>
        <w:t>news, how they judge it, and what school-based instruction could strengthen safe, critical, and responsible participation.</w:t>
      </w:r>
    </w:p>
    <w:p w:rsidR="00715923" w:rsidRPr="00F36C89" w:rsidRDefault="007E7FEE">
      <w:pPr>
        <w:spacing w:after="140"/>
        <w:jc w:val="both"/>
        <w:rPr>
          <w:sz w:val="32"/>
          <w:szCs w:val="32"/>
        </w:rPr>
      </w:pPr>
      <w:r w:rsidRPr="00F36C89">
        <w:rPr>
          <w:b/>
          <w:bCs/>
          <w:sz w:val="32"/>
          <w:szCs w:val="32"/>
        </w:rPr>
        <w:t>Keywords:</w:t>
      </w:r>
      <w:r w:rsidRPr="00F36C89">
        <w:rPr>
          <w:sz w:val="32"/>
          <w:szCs w:val="32"/>
        </w:rPr>
        <w:t xml:space="preserve"> algorithmic news literacy; media and information literacy; news personalisation; source evaluation; misinfor</w:t>
      </w:r>
      <w:r w:rsidRPr="00F36C89">
        <w:rPr>
          <w:sz w:val="32"/>
          <w:szCs w:val="32"/>
        </w:rPr>
        <w:t>mation susceptibility; adolescents; India; secondary education; research protocol</w:t>
      </w:r>
    </w:p>
    <w:p w:rsidR="00715923" w:rsidRPr="00F36C89" w:rsidRDefault="007E7FEE">
      <w:pPr>
        <w:pStyle w:val="Heading1"/>
        <w:keepNext/>
        <w:pageBreakBefore/>
        <w:spacing w:before="320" w:after="160"/>
        <w:rPr>
          <w:sz w:val="32"/>
          <w:szCs w:val="32"/>
        </w:rPr>
      </w:pPr>
      <w:r w:rsidRPr="00F36C89">
        <w:rPr>
          <w:b/>
          <w:bCs/>
          <w:color w:val="1F3864"/>
          <w:sz w:val="40"/>
          <w:szCs w:val="40"/>
        </w:rPr>
        <w:lastRenderedPageBreak/>
        <w:t>1. Introduction</w:t>
      </w:r>
    </w:p>
    <w:p w:rsidR="00715923" w:rsidRPr="00F36C89" w:rsidRDefault="007E7FEE">
      <w:pPr>
        <w:spacing w:after="140"/>
        <w:jc w:val="both"/>
        <w:rPr>
          <w:sz w:val="32"/>
          <w:szCs w:val="32"/>
        </w:rPr>
      </w:pPr>
      <w:r w:rsidRPr="00F36C89">
        <w:rPr>
          <w:sz w:val="32"/>
          <w:szCs w:val="32"/>
        </w:rPr>
        <w:t xml:space="preserve">For most adolescents with internet access, news no longer arrives as a discrete object. It arrives inside a feed. Short video, messaging forwards, aggregator </w:t>
      </w:r>
      <w:r w:rsidRPr="00F36C89">
        <w:rPr>
          <w:sz w:val="32"/>
          <w:szCs w:val="32"/>
        </w:rPr>
        <w:t>cards, creator commentary, and platform notifications deliver political, health, and civic information alongside entertainment, and the order in which those items appear is decided by ranking systems optimised for engagement rather than for accuracy or civ</w:t>
      </w:r>
      <w:r w:rsidRPr="00F36C89">
        <w:rPr>
          <w:sz w:val="32"/>
          <w:szCs w:val="32"/>
        </w:rPr>
        <w:t>ic value. Cross-national audience research documents an accelerating shift toward social and video platforms as the main route to news, with the shift most pronounced among the youngest respondents [1]. In India, the same surveys describe a mobile-first, p</w:t>
      </w:r>
      <w:r w:rsidRPr="00F36C89">
        <w:rPr>
          <w:sz w:val="32"/>
          <w:szCs w:val="32"/>
        </w:rPr>
        <w:t>latform-dominated environment in which social networks, video platforms, messaging applications, and increasingly artificial-intelligence assistants sit between the reader and the reporting [1,2]. The relevant analytic idea is not a single channel but a cu</w:t>
      </w:r>
      <w:r w:rsidRPr="00F36C89">
        <w:rPr>
          <w:sz w:val="32"/>
          <w:szCs w:val="32"/>
        </w:rPr>
        <w:t>rated flow: an individual's news diet is assembled jointly by the person, by the people they are connected to, by strategic communicators, and by algorithmic selection [3].</w:t>
      </w:r>
    </w:p>
    <w:p w:rsidR="00715923" w:rsidRPr="00F36C89" w:rsidRDefault="007E7FEE">
      <w:pPr>
        <w:spacing w:after="140"/>
        <w:jc w:val="both"/>
        <w:rPr>
          <w:sz w:val="32"/>
          <w:szCs w:val="32"/>
        </w:rPr>
      </w:pPr>
      <w:r w:rsidRPr="00F36C89">
        <w:rPr>
          <w:sz w:val="32"/>
          <w:szCs w:val="32"/>
        </w:rPr>
        <w:t xml:space="preserve">This matters educationally because the selection layer is largely invisible to the </w:t>
      </w:r>
      <w:r w:rsidRPr="00F36C89">
        <w:rPr>
          <w:sz w:val="32"/>
          <w:szCs w:val="32"/>
        </w:rPr>
        <w:t>reader. Users often do not realise that a feed is filtered at all, and when they do, their mental models of how filtering works are partial, inconsistent, and assembled from personal experience rather than instruction [4,5]. Young people build workable fol</w:t>
      </w:r>
      <w:r w:rsidRPr="00F36C89">
        <w:rPr>
          <w:sz w:val="32"/>
          <w:szCs w:val="32"/>
        </w:rPr>
        <w:t>k theories of ranking through expectancy violations, and those theories shift each time an interface changes [6]. A reader who does not know that content is being selected for them cannot reason accurately about what is missing from the feed, about why a p</w:t>
      </w:r>
      <w:r w:rsidRPr="00F36C89">
        <w:rPr>
          <w:sz w:val="32"/>
          <w:szCs w:val="32"/>
        </w:rPr>
        <w:t>articular claim reached them, or about whose interests the presentation might serve. Terminology also matters here: the field distinguishes false content shared without intent to deceive, false content deliberately created to harm, and accurate content wea</w:t>
      </w:r>
      <w:r w:rsidRPr="00F36C89">
        <w:rPr>
          <w:sz w:val="32"/>
          <w:szCs w:val="32"/>
        </w:rPr>
        <w:t>ponised out of context, and these categories call for different educational responses [7].</w:t>
      </w:r>
    </w:p>
    <w:p w:rsidR="00715923" w:rsidRPr="00F36C89" w:rsidRDefault="007E7FEE">
      <w:pPr>
        <w:spacing w:after="140"/>
        <w:jc w:val="both"/>
        <w:rPr>
          <w:sz w:val="32"/>
          <w:szCs w:val="32"/>
        </w:rPr>
      </w:pPr>
      <w:r w:rsidRPr="00F36C89">
        <w:rPr>
          <w:sz w:val="32"/>
          <w:szCs w:val="32"/>
        </w:rPr>
        <w:t>The second difficulty is evaluative rather than architectural. Large assessments of secondary-school students show that adolescents frequently accept online material</w:t>
      </w:r>
      <w:r w:rsidRPr="00F36C89">
        <w:rPr>
          <w:sz w:val="32"/>
          <w:szCs w:val="32"/>
        </w:rPr>
        <w:t xml:space="preserve"> on the strength of surface features, such as the professionalism of a page, the presence of citations, or the </w:t>
      </w:r>
      <w:r w:rsidRPr="00F36C89">
        <w:rPr>
          <w:sz w:val="32"/>
          <w:szCs w:val="32"/>
        </w:rPr>
        <w:lastRenderedPageBreak/>
        <w:t>vividness of an image, without establishing who stands behind a claim [8,9]. Professional fact-checkers behave differently: rather than reading d</w:t>
      </w:r>
      <w:r w:rsidRPr="00F36C89">
        <w:rPr>
          <w:sz w:val="32"/>
          <w:szCs w:val="32"/>
        </w:rPr>
        <w:t>own a page, they leave it quickly to investigate the source elsewhere, a practice described as lateral reading [10]. This difference is instructive because it is teachable, concrete, and directly relevant to feed-based news, where the immediate context sup</w:t>
      </w:r>
      <w:r w:rsidRPr="00F36C89">
        <w:rPr>
          <w:sz w:val="32"/>
          <w:szCs w:val="32"/>
        </w:rPr>
        <w:t>plies almost no information about provenance.</w:t>
      </w:r>
    </w:p>
    <w:p w:rsidR="00715923" w:rsidRPr="00F36C89" w:rsidRDefault="007E7FEE">
      <w:pPr>
        <w:spacing w:after="140"/>
        <w:jc w:val="both"/>
        <w:rPr>
          <w:sz w:val="32"/>
          <w:szCs w:val="32"/>
        </w:rPr>
      </w:pPr>
      <w:r w:rsidRPr="00F36C89">
        <w:rPr>
          <w:sz w:val="32"/>
          <w:szCs w:val="32"/>
        </w:rPr>
        <w:t>The third difficulty concerns circulation. False and misleading claims can travel further and faster than corrected information, particularly when they are novel and emotionally charged [11]. In India, encrypte</w:t>
      </w:r>
      <w:r w:rsidRPr="00F36C89">
        <w:rPr>
          <w:sz w:val="32"/>
          <w:szCs w:val="32"/>
        </w:rPr>
        <w:t>d messaging adds a specific dynamic: content circulates within trusted family and neighbourhood groups where the forwarding relationship itself functions as an endorsement, where visual formats such as image macros carry much of the misleading content, and</w:t>
      </w:r>
      <w:r w:rsidRPr="00F36C89">
        <w:rPr>
          <w:sz w:val="32"/>
          <w:szCs w:val="32"/>
        </w:rPr>
        <w:t xml:space="preserve"> where consequences have at times been severe [12,13]. Adolescents are not passive in this system. They are members of family and class groups, they forward, and their resharing decisions are part of the circulation problem and part of its solution.</w:t>
      </w:r>
    </w:p>
    <w:p w:rsidR="00715923" w:rsidRPr="00F36C89" w:rsidRDefault="007E7FEE">
      <w:pPr>
        <w:spacing w:after="140"/>
        <w:jc w:val="both"/>
        <w:rPr>
          <w:sz w:val="32"/>
          <w:szCs w:val="32"/>
        </w:rPr>
      </w:pPr>
      <w:r w:rsidRPr="00F36C89">
        <w:rPr>
          <w:sz w:val="32"/>
          <w:szCs w:val="32"/>
        </w:rPr>
        <w:t>Whethe</w:t>
      </w:r>
      <w:r w:rsidRPr="00F36C89">
        <w:rPr>
          <w:sz w:val="32"/>
          <w:szCs w:val="32"/>
        </w:rPr>
        <w:t>r education helps is an empirical question rather than an assumption. A large preregistered study conducted around elections in the United States and India found that a short, scalable digital media-literacy intervention improved discernment between mainst</w:t>
      </w:r>
      <w:r w:rsidRPr="00F36C89">
        <w:rPr>
          <w:sz w:val="32"/>
          <w:szCs w:val="32"/>
        </w:rPr>
        <w:t xml:space="preserve">ream and false headlines, although the effect was smaller and less durable in the Indian sample [14]. A field experiment in India found that an hour-long in-person media literacy module did not improve identification of misinformation on average, and that </w:t>
      </w:r>
      <w:r w:rsidRPr="00F36C89">
        <w:rPr>
          <w:sz w:val="32"/>
          <w:szCs w:val="32"/>
        </w:rPr>
        <w:t>partisanship moderated responses [15]. Taken together, these results argue against confident claims that literacy instruction straightforwardly solves misinformation, and in favour of careful description of what specific competencies students actually have</w:t>
      </w:r>
      <w:r w:rsidRPr="00F36C89">
        <w:rPr>
          <w:sz w:val="32"/>
          <w:szCs w:val="32"/>
        </w:rPr>
        <w:t xml:space="preserve"> before interventions are designed for them.</w:t>
      </w:r>
    </w:p>
    <w:p w:rsidR="00715923" w:rsidRPr="00F36C89" w:rsidRDefault="007E7FEE">
      <w:pPr>
        <w:spacing w:after="140"/>
        <w:jc w:val="both"/>
        <w:rPr>
          <w:sz w:val="32"/>
          <w:szCs w:val="32"/>
        </w:rPr>
      </w:pPr>
      <w:r w:rsidRPr="00F36C89">
        <w:rPr>
          <w:sz w:val="32"/>
          <w:szCs w:val="32"/>
        </w:rPr>
        <w:t>Indian policy provides a clear rationale for such description. The National Education Policy 2020 and the National Curriculum Framework for School Education 2023 both foreground critical thinking, digital litera</w:t>
      </w:r>
      <w:r w:rsidRPr="00F36C89">
        <w:rPr>
          <w:sz w:val="32"/>
          <w:szCs w:val="32"/>
        </w:rPr>
        <w:t xml:space="preserve">cy, ethical reasoning, and responsible participation in a technology-rich society [16,17]. The Central Board of Secondary Education's Artificial Intelligence subject for Classes IX </w:t>
      </w:r>
      <w:r w:rsidRPr="00F36C89">
        <w:rPr>
          <w:sz w:val="32"/>
          <w:szCs w:val="32"/>
        </w:rPr>
        <w:lastRenderedPageBreak/>
        <w:t>and X introduces data literacy, bias, and the social consequences of automa</w:t>
      </w:r>
      <w:r w:rsidRPr="00F36C89">
        <w:rPr>
          <w:sz w:val="32"/>
          <w:szCs w:val="32"/>
        </w:rPr>
        <w:t>ted systems, which are the conceptual foundations of algorithmic awareness, although the subject is optional and its uptake is uneven [18,19]. The regulatory environment has also moved. The Digital Personal Data Protection Act 2023 defines everyone under e</w:t>
      </w:r>
      <w:r w:rsidRPr="00F36C89">
        <w:rPr>
          <w:sz w:val="32"/>
          <w:szCs w:val="32"/>
        </w:rPr>
        <w:t xml:space="preserve">ighteen as a child, and the Digital Personal Data Protection Rules notified in November 2025 operationalise verifiable parental consent while restricting tracking, behavioural monitoring, and targeted advertising directed at children [20,21]. Intermediary </w:t>
      </w:r>
      <w:r w:rsidRPr="00F36C89">
        <w:rPr>
          <w:sz w:val="32"/>
          <w:szCs w:val="32"/>
        </w:rPr>
        <w:t>and digital-media rules place further obligations on platforms regarding unlawful and misleading content [22]. International guidance on media and information literacy similarly treats evaluation, ethics, and participation as core school competencies rathe</w:t>
      </w:r>
      <w:r w:rsidRPr="00F36C89">
        <w:rPr>
          <w:sz w:val="32"/>
          <w:szCs w:val="32"/>
        </w:rPr>
        <w:t>r than optional enrichment [23]. Policy ambition, however, is not evidence of student capability.</w:t>
      </w:r>
    </w:p>
    <w:p w:rsidR="00715923" w:rsidRPr="00F36C89" w:rsidRDefault="007E7FEE">
      <w:pPr>
        <w:spacing w:after="140"/>
        <w:jc w:val="both"/>
        <w:rPr>
          <w:sz w:val="32"/>
          <w:szCs w:val="32"/>
        </w:rPr>
      </w:pPr>
      <w:r w:rsidRPr="00F36C89">
        <w:rPr>
          <w:sz w:val="32"/>
          <w:szCs w:val="32"/>
        </w:rPr>
        <w:t xml:space="preserve">The Indian secondary-school population is highly heterogeneous. Device ownership, connectivity, English-language proficiency, exposure to formal instruction, </w:t>
      </w:r>
      <w:r w:rsidRPr="00F36C89">
        <w:rPr>
          <w:sz w:val="32"/>
          <w:szCs w:val="32"/>
        </w:rPr>
        <w:t xml:space="preserve">and adult guidance differ sharply across regions and school types, and national survey evidence documents uneven digital access and skill among rural youth aged fourteen to eighteen [24]. This heterogeneity makes sweeping national claims inappropriate for </w:t>
      </w:r>
      <w:r w:rsidRPr="00F36C89">
        <w:rPr>
          <w:sz w:val="32"/>
          <w:szCs w:val="32"/>
        </w:rPr>
        <w:t>a modest independent-student project, and it makes carefully bounded, multi-site evidence valuable provided the limits of the sampling frame are stated plainly rather than glossed.</w:t>
      </w:r>
    </w:p>
    <w:p w:rsidR="00715923" w:rsidRPr="00F36C89" w:rsidRDefault="007E7FEE">
      <w:pPr>
        <w:spacing w:after="140"/>
        <w:jc w:val="both"/>
        <w:rPr>
          <w:sz w:val="32"/>
          <w:szCs w:val="32"/>
        </w:rPr>
      </w:pPr>
      <w:r w:rsidRPr="00F36C89">
        <w:rPr>
          <w:sz w:val="32"/>
          <w:szCs w:val="32"/>
        </w:rPr>
        <w:t xml:space="preserve">The present paper therefore develops a complete research protocol for a study of algorithmic news literacy among Indian students in Classes IX and X. It preserves a narrow empirical focus, namely news exposure and access, personalisation awareness, source </w:t>
      </w:r>
      <w:r w:rsidRPr="00F36C89">
        <w:rPr>
          <w:sz w:val="32"/>
          <w:szCs w:val="32"/>
        </w:rPr>
        <w:t>evaluation and verification, misinformation susceptibility, trust calibration, risk perception, and responsible sharing, while grounding these observations in a multidimensional literacy model. The design deliberately separates what students say they can d</w:t>
      </w:r>
      <w:r w:rsidRPr="00F36C89">
        <w:rPr>
          <w:sz w:val="32"/>
          <w:szCs w:val="32"/>
        </w:rPr>
        <w:t>o from what they know and from how they respond to short, concrete tasks. It also treats verification as an active practice: establishing who produced a claim, checking it against reliable independent sources, opening rather than counting citations, checki</w:t>
      </w:r>
      <w:r w:rsidRPr="00F36C89">
        <w:rPr>
          <w:sz w:val="32"/>
          <w:szCs w:val="32"/>
        </w:rPr>
        <w:t>ng whether an image is being reused out of context, and recognising when uncertainty requires restraint.</w:t>
      </w:r>
    </w:p>
    <w:p w:rsidR="00715923" w:rsidRPr="00F36C89" w:rsidRDefault="007E7FEE">
      <w:pPr>
        <w:spacing w:after="140"/>
        <w:jc w:val="both"/>
        <w:rPr>
          <w:sz w:val="32"/>
          <w:szCs w:val="32"/>
        </w:rPr>
      </w:pPr>
      <w:r w:rsidRPr="00F36C89">
        <w:rPr>
          <w:sz w:val="32"/>
          <w:szCs w:val="32"/>
        </w:rPr>
        <w:lastRenderedPageBreak/>
        <w:t>The contribution is threefold. Conceptually, the paper integrates algorithm-awareness research, civic online reasoning, misinformation-susceptibility m</w:t>
      </w:r>
      <w:r w:rsidRPr="00F36C89">
        <w:rPr>
          <w:sz w:val="32"/>
          <w:szCs w:val="32"/>
        </w:rPr>
        <w:t>easurement, and child-centred risk principles into a framework suitable for secondary-school research in India. Methodologically, it supplies an original survey instrument, a validation pathway, an ethical protocol, and a prespecified analysis plan that an</w:t>
      </w:r>
      <w:r w:rsidRPr="00F36C89">
        <w:rPr>
          <w:sz w:val="32"/>
          <w:szCs w:val="32"/>
        </w:rPr>
        <w:t xml:space="preserve"> independent student researcher can implement with school and adult oversight. Substantively, the future study is positioned to identify gaps between exposure and judgement, for example heavy feed-based news use paired with weak provenance checking, withou</w:t>
      </w:r>
      <w:r w:rsidRPr="00F36C89">
        <w:rPr>
          <w:sz w:val="32"/>
          <w:szCs w:val="32"/>
        </w:rPr>
        <w:t>t presuming that such gaps exist before data are collected. This protocol approach protects research integrity: it advances the paper as far as current evidence permits and stops before reporting participants or findings that do not yet exist.</w:t>
      </w:r>
    </w:p>
    <w:p w:rsidR="00715923" w:rsidRPr="00F36C89" w:rsidRDefault="007E7FEE">
      <w:pPr>
        <w:pStyle w:val="Heading1"/>
        <w:keepNext/>
        <w:pageBreakBefore/>
        <w:spacing w:before="320" w:after="160"/>
        <w:rPr>
          <w:sz w:val="32"/>
          <w:szCs w:val="32"/>
        </w:rPr>
      </w:pPr>
      <w:r w:rsidRPr="00F36C89">
        <w:rPr>
          <w:b/>
          <w:bCs/>
          <w:color w:val="1F3864"/>
          <w:sz w:val="40"/>
          <w:szCs w:val="40"/>
        </w:rPr>
        <w:lastRenderedPageBreak/>
        <w:t>2. Literature Review</w:t>
      </w:r>
    </w:p>
    <w:p w:rsidR="00715923" w:rsidRPr="00F36C89" w:rsidRDefault="007E7FEE">
      <w:pPr>
        <w:pStyle w:val="Heading2"/>
        <w:keepNext/>
        <w:spacing w:before="260" w:after="120"/>
        <w:rPr>
          <w:sz w:val="32"/>
          <w:szCs w:val="32"/>
        </w:rPr>
      </w:pPr>
      <w:r w:rsidRPr="00F36C89">
        <w:rPr>
          <w:b/>
          <w:bCs/>
          <w:color w:val="1F7A8C"/>
          <w:sz w:val="36"/>
          <w:szCs w:val="36"/>
        </w:rPr>
        <w:t>2.1 The algorithmic news environment and adolescent audiences</w:t>
      </w:r>
    </w:p>
    <w:p w:rsidR="00715923" w:rsidRPr="00F36C89" w:rsidRDefault="007E7FEE">
      <w:pPr>
        <w:spacing w:after="140"/>
        <w:jc w:val="both"/>
        <w:rPr>
          <w:sz w:val="32"/>
          <w:szCs w:val="32"/>
        </w:rPr>
      </w:pPr>
      <w:r w:rsidRPr="00F36C89">
        <w:rPr>
          <w:sz w:val="32"/>
          <w:szCs w:val="32"/>
        </w:rPr>
        <w:t>Debate about algorithmic curation has moved a long way from its early framing. The filter-bubble thesis proposed that personalised selection would enclose readers within sel</w:t>
      </w:r>
      <w:r w:rsidRPr="00F36C89">
        <w:rPr>
          <w:sz w:val="32"/>
          <w:szCs w:val="32"/>
        </w:rPr>
        <w:t>f-confirming information environments [25]. Large-scale platform and browsing studies complicated that picture: algorithmic ranking on social platforms was found to reduce exposure to cross-cutting content less than individual choice did [26], web-browsing</w:t>
      </w:r>
      <w:r w:rsidRPr="00F36C89">
        <w:rPr>
          <w:sz w:val="32"/>
          <w:szCs w:val="32"/>
        </w:rPr>
        <w:t xml:space="preserve"> data showed that social and search referrals were associated with both greater ideological distance and greater exposure to opposing views [27], and a more recent set of platform experiments found like-minded sources to be prevalent without being straight</w:t>
      </w:r>
      <w:r w:rsidRPr="00F36C89">
        <w:rPr>
          <w:sz w:val="32"/>
          <w:szCs w:val="32"/>
        </w:rPr>
        <w:t>forwardly polarising [28]. Audit work nonetheless confirms that ranking materially changes what a user actually sees relative to a chronological baseline [29]. The defensible summary for educational purposes is narrower than the popular one: personalisatio</w:t>
      </w:r>
      <w:r w:rsidRPr="00F36C89">
        <w:rPr>
          <w:sz w:val="32"/>
          <w:szCs w:val="32"/>
        </w:rPr>
        <w:t>n is real, consequential, and opaque, but its effects are contingent, and instruction that teaches adolescents to believe they are trapped in a bubble would misstate the evidence as badly as instruction that ignores ranking altogether.</w:t>
      </w:r>
    </w:p>
    <w:p w:rsidR="00715923" w:rsidRPr="00F36C89" w:rsidRDefault="007E7FEE">
      <w:pPr>
        <w:spacing w:after="140"/>
        <w:jc w:val="both"/>
        <w:rPr>
          <w:sz w:val="32"/>
          <w:szCs w:val="32"/>
        </w:rPr>
      </w:pPr>
      <w:r w:rsidRPr="00F36C89">
        <w:rPr>
          <w:sz w:val="32"/>
          <w:szCs w:val="32"/>
        </w:rPr>
        <w:t>This has a direct me</w:t>
      </w:r>
      <w:r w:rsidRPr="00F36C89">
        <w:rPr>
          <w:sz w:val="32"/>
          <w:szCs w:val="32"/>
        </w:rPr>
        <w:t>asurement implication. A survey should not ask students whether they are in a filter bubble. It should ask whether they know that selection is occurring, what signals feed that selection, who benefits from it, and what a reader can do about it. Those are a</w:t>
      </w:r>
      <w:r w:rsidRPr="00F36C89">
        <w:rPr>
          <w:sz w:val="32"/>
          <w:szCs w:val="32"/>
        </w:rPr>
        <w:t>nswerable, age-appropriate, and instructionally actionable questions.</w:t>
      </w:r>
    </w:p>
    <w:p w:rsidR="00715923" w:rsidRPr="00F36C89" w:rsidRDefault="007E7FEE">
      <w:pPr>
        <w:pStyle w:val="Heading2"/>
        <w:keepNext/>
        <w:spacing w:before="260" w:after="120"/>
        <w:rPr>
          <w:sz w:val="32"/>
          <w:szCs w:val="32"/>
        </w:rPr>
      </w:pPr>
      <w:r w:rsidRPr="00F36C89">
        <w:rPr>
          <w:b/>
          <w:bCs/>
          <w:color w:val="1F7A8C"/>
          <w:sz w:val="36"/>
          <w:szCs w:val="36"/>
        </w:rPr>
        <w:t>2.2 Algorithm awareness and algorithmic literacy</w:t>
      </w:r>
    </w:p>
    <w:p w:rsidR="00715923" w:rsidRPr="00F36C89" w:rsidRDefault="007E7FEE">
      <w:pPr>
        <w:spacing w:after="140"/>
        <w:jc w:val="both"/>
        <w:rPr>
          <w:sz w:val="32"/>
          <w:szCs w:val="32"/>
        </w:rPr>
      </w:pPr>
      <w:r w:rsidRPr="00F36C89">
        <w:rPr>
          <w:sz w:val="32"/>
          <w:szCs w:val="32"/>
        </w:rPr>
        <w:t>A substantial body of user-centred research examines what people actually understand about ranking. Users develop an algorithmic imaginar</w:t>
      </w:r>
      <w:r w:rsidRPr="00F36C89">
        <w:rPr>
          <w:sz w:val="32"/>
          <w:szCs w:val="32"/>
        </w:rPr>
        <w:t>y, a set of intuitions about how systems behave that is shaped by everyday encounters and that in turn shapes their behaviour [30]. Studies of young people's engagement with algorithmic news selection find that sense-making is context-specific and triggere</w:t>
      </w:r>
      <w:r w:rsidRPr="00F36C89">
        <w:rPr>
          <w:sz w:val="32"/>
          <w:szCs w:val="32"/>
        </w:rPr>
        <w:t xml:space="preserve">d by expectancy violations or explicit personalisation cues, and, importantly, that </w:t>
      </w:r>
      <w:r w:rsidRPr="00F36C89">
        <w:rPr>
          <w:sz w:val="32"/>
          <w:szCs w:val="32"/>
        </w:rPr>
        <w:lastRenderedPageBreak/>
        <w:t>experiential insight does not automatically translate into the vocabulary needed to articulate it, nor does knowledge automatically produce intervention in one's own feed [</w:t>
      </w:r>
      <w:r w:rsidRPr="00F36C89">
        <w:rPr>
          <w:sz w:val="32"/>
          <w:szCs w:val="32"/>
        </w:rPr>
        <w:t>31]. Survey work with students has found that a substantial proportion do not recognise that their news feeds are filtered at all [32].</w:t>
      </w:r>
    </w:p>
    <w:p w:rsidR="00715923" w:rsidRPr="00F36C89" w:rsidRDefault="007E7FEE">
      <w:pPr>
        <w:spacing w:after="140"/>
        <w:jc w:val="both"/>
        <w:rPr>
          <w:sz w:val="32"/>
          <w:szCs w:val="32"/>
        </w:rPr>
      </w:pPr>
      <w:r w:rsidRPr="00F36C89">
        <w:rPr>
          <w:sz w:val="32"/>
          <w:szCs w:val="32"/>
        </w:rPr>
        <w:t>Measurement in this area has matured. Research on algorithm skills argues for behavioural and knowledge-based measures r</w:t>
      </w:r>
      <w:r w:rsidRPr="00F36C89">
        <w:rPr>
          <w:sz w:val="32"/>
          <w:szCs w:val="32"/>
        </w:rPr>
        <w:t>ather than self-assessment alone [33,34], and studies of algorithmic knowledge gaps show that understanding is distributed unevenly by education and socioeconomic position, so that awareness itself becomes a dimension of digital inequality [35]. Two valida</w:t>
      </w:r>
      <w:r w:rsidRPr="00F36C89">
        <w:rPr>
          <w:sz w:val="32"/>
          <w:szCs w:val="32"/>
        </w:rPr>
        <w:t>ted instruments are particularly relevant. Dogruel and colleagues developed a platform-neutral algorithm literacy scale distinguishing awareness of algorithm use from knowledge about how algorithms operate, validated with item-response methods and shown to</w:t>
      </w:r>
      <w:r w:rsidRPr="00F36C89">
        <w:rPr>
          <w:sz w:val="32"/>
          <w:szCs w:val="32"/>
        </w:rPr>
        <w:t xml:space="preserve"> predict how users handle algorithmic curation in test scenarios [36]. Zarouali and colleagues developed the algorithmic media content awareness scale, which captures awareness of content filtering, automated decision-making, human-algorithm interplay, and</w:t>
      </w:r>
      <w:r w:rsidRPr="00F36C89">
        <w:rPr>
          <w:sz w:val="32"/>
          <w:szCs w:val="32"/>
        </w:rPr>
        <w:t xml:space="preserve"> ethical considerations [37]. Integrative reviews of this literature note that algorithm literacy is conceptualised inconsistently, that most evidence comes from adults in high-income Western settings, and that adolescent and Global South samples remain un</w:t>
      </w:r>
      <w:r w:rsidRPr="00F36C89">
        <w:rPr>
          <w:sz w:val="32"/>
          <w:szCs w:val="32"/>
        </w:rPr>
        <w:t>der-represented [38,39].</w:t>
      </w:r>
    </w:p>
    <w:p w:rsidR="00715923" w:rsidRPr="00F36C89" w:rsidRDefault="007E7FEE">
      <w:pPr>
        <w:spacing w:after="140"/>
        <w:jc w:val="both"/>
        <w:rPr>
          <w:sz w:val="32"/>
          <w:szCs w:val="32"/>
        </w:rPr>
      </w:pPr>
      <w:r w:rsidRPr="00F36C89">
        <w:rPr>
          <w:sz w:val="32"/>
          <w:szCs w:val="32"/>
        </w:rPr>
        <w:t xml:space="preserve">Two consequences follow for the present protocol. First, existing scales provide strong conceptual precedents but cannot be assumed to function identically among fourteen- to sixteen-year-olds studying in Indian schools in English </w:t>
      </w:r>
      <w:r w:rsidRPr="00F36C89">
        <w:rPr>
          <w:sz w:val="32"/>
          <w:szCs w:val="32"/>
        </w:rPr>
        <w:t>or Hindi; original, age-appropriate items are required, and they require validation. Second, awareness must be measured as knowledge, not as confidence, because familiarity with an interface is easily mistaken for understanding of the system behind it.</w:t>
      </w:r>
    </w:p>
    <w:p w:rsidR="00715923" w:rsidRPr="00F36C89" w:rsidRDefault="007E7FEE">
      <w:pPr>
        <w:pStyle w:val="Heading2"/>
        <w:keepNext/>
        <w:spacing w:before="260" w:after="120"/>
        <w:rPr>
          <w:sz w:val="32"/>
          <w:szCs w:val="32"/>
        </w:rPr>
      </w:pPr>
      <w:r w:rsidRPr="00F36C89">
        <w:rPr>
          <w:b/>
          <w:bCs/>
          <w:color w:val="1F7A8C"/>
          <w:sz w:val="36"/>
          <w:szCs w:val="36"/>
        </w:rPr>
        <w:t>2.3</w:t>
      </w:r>
      <w:r w:rsidRPr="00F36C89">
        <w:rPr>
          <w:b/>
          <w:bCs/>
          <w:color w:val="1F7A8C"/>
          <w:sz w:val="36"/>
          <w:szCs w:val="36"/>
        </w:rPr>
        <w:t xml:space="preserve"> Source evaluation, civic online reasoning, and verification</w:t>
      </w:r>
    </w:p>
    <w:p w:rsidR="00715923" w:rsidRPr="00F36C89" w:rsidRDefault="007E7FEE">
      <w:pPr>
        <w:spacing w:after="140"/>
        <w:jc w:val="both"/>
        <w:rPr>
          <w:sz w:val="32"/>
          <w:szCs w:val="32"/>
        </w:rPr>
      </w:pPr>
      <w:r w:rsidRPr="00F36C89">
        <w:rPr>
          <w:sz w:val="32"/>
          <w:szCs w:val="32"/>
        </w:rPr>
        <w:t>Research on how students judge digital information is unusually consistent. A national assessment of United States high-school students reported widespread difficulty with basic provenance tasks,</w:t>
      </w:r>
      <w:r w:rsidRPr="00F36C89">
        <w:rPr>
          <w:sz w:val="32"/>
          <w:szCs w:val="32"/>
        </w:rPr>
        <w:t xml:space="preserve"> including </w:t>
      </w:r>
      <w:r w:rsidRPr="00F36C89">
        <w:rPr>
          <w:sz w:val="32"/>
          <w:szCs w:val="32"/>
        </w:rPr>
        <w:lastRenderedPageBreak/>
        <w:t>failure to consider whether a site's funders had an interest in its claims and acceptance of decontextualised video as strong evidence [8]. Earlier task-based work reached similar conclusions across grade levels [9]. The explanatory account is n</w:t>
      </w:r>
      <w:r w:rsidRPr="00F36C89">
        <w:rPr>
          <w:sz w:val="32"/>
          <w:szCs w:val="32"/>
        </w:rPr>
        <w:t>ot that adolescents are careless but that they apply heuristics that once worked reasonably well: professional design, apparent expertise, volume of references, and social endorsement all operate as credibility cues even when they are trivially easy to fab</w:t>
      </w:r>
      <w:r w:rsidRPr="00F36C89">
        <w:rPr>
          <w:sz w:val="32"/>
          <w:szCs w:val="32"/>
        </w:rPr>
        <w:t>ricate [40,41]. Comparable difficulties have been documented among adolescents outside the United States, indicating that the pattern is not confined to one national context [42].</w:t>
      </w:r>
    </w:p>
    <w:p w:rsidR="00715923" w:rsidRPr="00F36C89" w:rsidRDefault="007E7FEE">
      <w:pPr>
        <w:spacing w:after="140"/>
        <w:jc w:val="both"/>
        <w:rPr>
          <w:sz w:val="32"/>
          <w:szCs w:val="32"/>
        </w:rPr>
      </w:pPr>
      <w:r w:rsidRPr="00F36C89">
        <w:rPr>
          <w:sz w:val="32"/>
          <w:szCs w:val="32"/>
        </w:rPr>
        <w:t>The corresponding instructional response is well specified. Lateral reading,</w:t>
      </w:r>
      <w:r w:rsidRPr="00F36C89">
        <w:rPr>
          <w:sz w:val="32"/>
          <w:szCs w:val="32"/>
        </w:rPr>
        <w:t xml:space="preserve"> in which the reader leaves the page to establish who is behind it before evaluating what it says, distinguishes expert from novice evaluation [10], and classroom interventions built on that principle have improved students' evaluation performance [43]. Fo</w:t>
      </w:r>
      <w:r w:rsidRPr="00F36C89">
        <w:rPr>
          <w:sz w:val="32"/>
          <w:szCs w:val="32"/>
        </w:rPr>
        <w:t>r a feed-based news environment the same logic extends to specific, checkable actions: identifying the original publisher behind a reshared card, opening a cited link rather than counting citations, checking whether an image has been reused from an earlier</w:t>
      </w:r>
      <w:r w:rsidRPr="00F36C89">
        <w:rPr>
          <w:sz w:val="32"/>
          <w:szCs w:val="32"/>
        </w:rPr>
        <w:t xml:space="preserve"> event, checking dates, and comparing the claim against an independent source before accepting or forwarding it. Because these are discrete behaviours, they can be measured both as reported frequency and as scenario performance, which is the approach adopt</w:t>
      </w:r>
      <w:r w:rsidRPr="00F36C89">
        <w:rPr>
          <w:sz w:val="32"/>
          <w:szCs w:val="32"/>
        </w:rPr>
        <w:t>ed here.</w:t>
      </w:r>
    </w:p>
    <w:p w:rsidR="00715923" w:rsidRPr="00F36C89" w:rsidRDefault="007E7FEE">
      <w:pPr>
        <w:pStyle w:val="Heading2"/>
        <w:keepNext/>
        <w:spacing w:before="260" w:after="120"/>
        <w:rPr>
          <w:sz w:val="32"/>
          <w:szCs w:val="32"/>
        </w:rPr>
      </w:pPr>
      <w:r w:rsidRPr="00F36C89">
        <w:rPr>
          <w:b/>
          <w:bCs/>
          <w:color w:val="1F7A8C"/>
          <w:sz w:val="36"/>
          <w:szCs w:val="36"/>
        </w:rPr>
        <w:t>2.4 Misinformation susceptibility, trust, and overconfidence</w:t>
      </w:r>
    </w:p>
    <w:p w:rsidR="00715923" w:rsidRPr="00F36C89" w:rsidRDefault="007E7FEE">
      <w:pPr>
        <w:spacing w:after="140"/>
        <w:jc w:val="both"/>
        <w:rPr>
          <w:sz w:val="32"/>
          <w:szCs w:val="32"/>
        </w:rPr>
      </w:pPr>
      <w:r w:rsidRPr="00F36C89">
        <w:rPr>
          <w:sz w:val="32"/>
          <w:szCs w:val="32"/>
        </w:rPr>
        <w:t>Susceptibility to false news is better explained by insufficient analytic engagement than by motivated reasoning alone: people who reason more reflectively discern true from false headli</w:t>
      </w:r>
      <w:r w:rsidRPr="00F36C89">
        <w:rPr>
          <w:sz w:val="32"/>
          <w:szCs w:val="32"/>
        </w:rPr>
        <w:t>nes more accurately irrespective of whether the headline is politically congenial [44]. Reviews of the field describe a set of cognitive, social, and affective drivers, including familiarity, source cues, repetition, and emotional arousal, and note that co</w:t>
      </w:r>
      <w:r w:rsidRPr="00F36C89">
        <w:rPr>
          <w:sz w:val="32"/>
          <w:szCs w:val="32"/>
        </w:rPr>
        <w:t>rrections work but rarely erase the original influence entirely [45,46,47]. Measurement has become more rigorous. The Misinformation Susceptibility Test provides a psychometrically validated approach in which respondents judge a balanced set of true and fa</w:t>
      </w:r>
      <w:r w:rsidRPr="00F36C89">
        <w:rPr>
          <w:sz w:val="32"/>
          <w:szCs w:val="32"/>
        </w:rPr>
        <w:t xml:space="preserve">lse headlines, and, critically, distinguishes overall discernment </w:t>
      </w:r>
      <w:r w:rsidRPr="00F36C89">
        <w:rPr>
          <w:sz w:val="32"/>
          <w:szCs w:val="32"/>
        </w:rPr>
        <w:lastRenderedPageBreak/>
        <w:t>from directional response bias, so that indiscriminate scepticism is not mistaken for skill [48]. That distinction is essential for adolescent research, where a student who rejects everythin</w:t>
      </w:r>
      <w:r w:rsidRPr="00F36C89">
        <w:rPr>
          <w:sz w:val="32"/>
          <w:szCs w:val="32"/>
        </w:rPr>
        <w:t>g scores well on false items and badly on true ones.</w:t>
      </w:r>
    </w:p>
    <w:p w:rsidR="00715923" w:rsidRPr="00F36C89" w:rsidRDefault="007E7FEE">
      <w:pPr>
        <w:spacing w:after="140"/>
        <w:jc w:val="both"/>
        <w:rPr>
          <w:sz w:val="32"/>
          <w:szCs w:val="32"/>
        </w:rPr>
      </w:pPr>
      <w:r w:rsidRPr="00F36C89">
        <w:rPr>
          <w:sz w:val="32"/>
          <w:szCs w:val="32"/>
        </w:rPr>
        <w:t>Confidence deserves separate treatment. Overconfidence in one's own news judgement is associated with greater susceptibility to false news and with a reduced likelihood of checking [49], and third-person</w:t>
      </w:r>
      <w:r w:rsidRPr="00F36C89">
        <w:rPr>
          <w:sz w:val="32"/>
          <w:szCs w:val="32"/>
        </w:rPr>
        <w:t xml:space="preserve"> perception, in which people judge others to be more affected by fake news than themselves, is well documented [50]. Preventive approaches, including inoculation and short game-based prebunking, have shown improvements in the ability to recognise manipulat</w:t>
      </w:r>
      <w:r w:rsidRPr="00F36C89">
        <w:rPr>
          <w:sz w:val="32"/>
          <w:szCs w:val="32"/>
        </w:rPr>
        <w:t>ion techniques [51,52,53], while meta-analytic evidence indicates that fact-checking has real but conditional effects [54]. For the present study the implication is that trust and confidence are calibration variables rather than outcomes to be maximised. T</w:t>
      </w:r>
      <w:r w:rsidRPr="00F36C89">
        <w:rPr>
          <w:sz w:val="32"/>
          <w:szCs w:val="32"/>
        </w:rPr>
        <w:t>he desirable profile is conditional trust that rises with verifiable evidence and falls when provenance is unclear or when consequences of error are serious.</w:t>
      </w:r>
    </w:p>
    <w:p w:rsidR="00715923" w:rsidRPr="00F36C89" w:rsidRDefault="007E7FEE">
      <w:pPr>
        <w:pStyle w:val="Heading2"/>
        <w:keepNext/>
        <w:spacing w:before="260" w:after="120"/>
        <w:rPr>
          <w:sz w:val="32"/>
          <w:szCs w:val="32"/>
        </w:rPr>
      </w:pPr>
      <w:r w:rsidRPr="00F36C89">
        <w:rPr>
          <w:b/>
          <w:bCs/>
          <w:color w:val="1F7A8C"/>
          <w:sz w:val="36"/>
          <w:szCs w:val="36"/>
        </w:rPr>
        <w:t>2.5 News literacy education and its documented limits</w:t>
      </w:r>
    </w:p>
    <w:p w:rsidR="00715923" w:rsidRPr="00F36C89" w:rsidRDefault="007E7FEE">
      <w:pPr>
        <w:spacing w:after="140"/>
        <w:jc w:val="both"/>
        <w:rPr>
          <w:sz w:val="32"/>
          <w:szCs w:val="32"/>
        </w:rPr>
      </w:pPr>
      <w:r w:rsidRPr="00F36C89">
        <w:rPr>
          <w:sz w:val="32"/>
          <w:szCs w:val="32"/>
        </w:rPr>
        <w:t xml:space="preserve">Media literacy education is widely endorsed </w:t>
      </w:r>
      <w:r w:rsidRPr="00F36C89">
        <w:rPr>
          <w:sz w:val="32"/>
          <w:szCs w:val="32"/>
        </w:rPr>
        <w:t>and unevenly evidenced. Reviews describe a field with strong normative commitments, heterogeneous programme designs, and comparatively little rigorous outcome evaluation [55]. Empirical work distinguishing literacy types has found that information literacy</w:t>
      </w:r>
      <w:r w:rsidRPr="00F36C89">
        <w:rPr>
          <w:sz w:val="32"/>
          <w:szCs w:val="32"/>
        </w:rPr>
        <w:t>, understood as the capacity to locate and evaluate sources, predicts accurate identification of false news, whereas broader media literacy and news literacy measures do not consistently do so [56]. Studies of news literacy and social-media behaviour repor</w:t>
      </w:r>
      <w:r w:rsidRPr="00F36C89">
        <w:rPr>
          <w:sz w:val="32"/>
          <w:szCs w:val="32"/>
        </w:rPr>
        <w:t xml:space="preserve">t that literacy relates to scepticism and verification intentions in nuanced ways, and that brief, well-designed messages can shift them [57,58]. Instruction in political reasoning has been shown to improve judgement of online evidence [59]. There is also </w:t>
      </w:r>
      <w:r w:rsidRPr="00F36C89">
        <w:rPr>
          <w:sz w:val="32"/>
          <w:szCs w:val="32"/>
        </w:rPr>
        <w:t>a well-known caution that literacy instruction which teaches generalised distrust can be counterproductive, producing readers who dismiss credible institutional reporting as readily as fabricated content [60].</w:t>
      </w:r>
    </w:p>
    <w:p w:rsidR="00715923" w:rsidRPr="00F36C89" w:rsidRDefault="007E7FEE">
      <w:pPr>
        <w:spacing w:after="140"/>
        <w:jc w:val="both"/>
        <w:rPr>
          <w:sz w:val="32"/>
          <w:szCs w:val="32"/>
        </w:rPr>
      </w:pPr>
      <w:r w:rsidRPr="00F36C89">
        <w:rPr>
          <w:sz w:val="32"/>
          <w:szCs w:val="32"/>
        </w:rPr>
        <w:t xml:space="preserve">Together with the Indian intervention studies </w:t>
      </w:r>
      <w:r w:rsidRPr="00F36C89">
        <w:rPr>
          <w:sz w:val="32"/>
          <w:szCs w:val="32"/>
        </w:rPr>
        <w:t xml:space="preserve">described earlier [14,15], this literature supports a modest and precise framing. The goal of measurement here is not to demonstrate that literacy instruction works. </w:t>
      </w:r>
      <w:r w:rsidRPr="00F36C89">
        <w:rPr>
          <w:sz w:val="32"/>
          <w:szCs w:val="32"/>
        </w:rPr>
        <w:lastRenderedPageBreak/>
        <w:t>It is to describe, accurately and with appropriate uncertainty, which specific competencie</w:t>
      </w:r>
      <w:r w:rsidRPr="00F36C89">
        <w:rPr>
          <w:sz w:val="32"/>
          <w:szCs w:val="32"/>
        </w:rPr>
        <w:t>s students in a bounded sample already hold, so that any subsequent intervention can be targeted rather than generic.</w:t>
      </w:r>
    </w:p>
    <w:p w:rsidR="00715923" w:rsidRPr="00F36C89" w:rsidRDefault="007E7FEE">
      <w:pPr>
        <w:pStyle w:val="Heading2"/>
        <w:keepNext/>
        <w:spacing w:before="260" w:after="120"/>
        <w:rPr>
          <w:sz w:val="32"/>
          <w:szCs w:val="32"/>
        </w:rPr>
      </w:pPr>
      <w:r w:rsidRPr="00F36C89">
        <w:rPr>
          <w:b/>
          <w:bCs/>
          <w:color w:val="1F7A8C"/>
          <w:sz w:val="36"/>
          <w:szCs w:val="36"/>
        </w:rPr>
        <w:t>2.6 The Indian context</w:t>
      </w:r>
    </w:p>
    <w:p w:rsidR="00715923" w:rsidRPr="00F36C89" w:rsidRDefault="007E7FEE">
      <w:pPr>
        <w:spacing w:after="140"/>
        <w:jc w:val="both"/>
        <w:rPr>
          <w:sz w:val="32"/>
          <w:szCs w:val="32"/>
        </w:rPr>
      </w:pPr>
      <w:r w:rsidRPr="00F36C89">
        <w:rPr>
          <w:sz w:val="32"/>
          <w:szCs w:val="32"/>
        </w:rPr>
        <w:t>India-specific evidence establishes the setting without answering the research question. Audience research describe</w:t>
      </w:r>
      <w:r w:rsidRPr="00F36C89">
        <w:rPr>
          <w:sz w:val="32"/>
          <w:szCs w:val="32"/>
        </w:rPr>
        <w:t>s a mobile-first, platform-dominated market with comparatively low institutional trust, extensive reliance on distributed discovery, and widespread public concern about false information; these surveys, however, sample English-speaking online populations a</w:t>
      </w:r>
      <w:r w:rsidRPr="00F36C89">
        <w:rPr>
          <w:sz w:val="32"/>
          <w:szCs w:val="32"/>
        </w:rPr>
        <w:t>nd should not be read as representative of all Indian adolescents [1,2,61]. Political-communication research documents organised information operations and polarised circulation dynamics [62]. Research on encrypted messaging identifies image-based misinfor</w:t>
      </w:r>
      <w:r w:rsidRPr="00F36C89">
        <w:rPr>
          <w:sz w:val="32"/>
          <w:szCs w:val="32"/>
        </w:rPr>
        <w:t>mation as a dominant format in Indian political groups and documents the social conditions under which such material is believed and forwarded [12,13].</w:t>
      </w:r>
    </w:p>
    <w:p w:rsidR="00715923" w:rsidRPr="00F36C89" w:rsidRDefault="007E7FEE">
      <w:pPr>
        <w:spacing w:after="140"/>
        <w:jc w:val="both"/>
        <w:rPr>
          <w:sz w:val="32"/>
          <w:szCs w:val="32"/>
        </w:rPr>
      </w:pPr>
      <w:r w:rsidRPr="00F36C89">
        <w:rPr>
          <w:sz w:val="32"/>
          <w:szCs w:val="32"/>
        </w:rPr>
        <w:t xml:space="preserve">Educational and child-rights frameworks supply the normative anchor. UNESCO's national education report </w:t>
      </w:r>
      <w:r w:rsidRPr="00F36C89">
        <w:rPr>
          <w:sz w:val="32"/>
          <w:szCs w:val="32"/>
        </w:rPr>
        <w:t xml:space="preserve">for India situates opportunity alongside governance challenges [63], its global media and information literacy curriculum treats evaluation and ethics as teachable competencies [23], and its guidance on digital platform governance emphasises institutional </w:t>
      </w:r>
      <w:r w:rsidRPr="00F36C89">
        <w:rPr>
          <w:sz w:val="32"/>
          <w:szCs w:val="32"/>
        </w:rPr>
        <w:t>as well as individual responsibility [64]. Child-centred policy guidance places safety, privacy, fairness, and children's agency at the centre of digital governance [65,66], which aligns directly with the Indian data-protection rules restricting behavioura</w:t>
      </w:r>
      <w:r w:rsidRPr="00F36C89">
        <w:rPr>
          <w:sz w:val="32"/>
          <w:szCs w:val="32"/>
        </w:rPr>
        <w:t>l tracking and targeted advertising directed at under-eighteens [20,21]. Comparative assessment evidence indicates that whether students are explicitly taught to detect bias and evaluate sources varies substantially across education systems and is associat</w:t>
      </w:r>
      <w:r w:rsidRPr="00F36C89">
        <w:rPr>
          <w:sz w:val="32"/>
          <w:szCs w:val="32"/>
        </w:rPr>
        <w:t>ed with performance [67]. A survey of individual students should therefore not interpret weak competence as a personal deficit alone; it may reflect unequal opportunity, absent instruction, unclear school rules, or language barriers.</w:t>
      </w:r>
    </w:p>
    <w:p w:rsidR="00715923" w:rsidRPr="00F36C89" w:rsidRDefault="007E7FEE">
      <w:pPr>
        <w:pStyle w:val="Heading2"/>
        <w:keepNext/>
        <w:spacing w:before="260" w:after="120"/>
        <w:rPr>
          <w:sz w:val="32"/>
          <w:szCs w:val="32"/>
        </w:rPr>
      </w:pPr>
      <w:r w:rsidRPr="00F36C89">
        <w:rPr>
          <w:b/>
          <w:bCs/>
          <w:color w:val="1F7A8C"/>
          <w:sz w:val="36"/>
          <w:szCs w:val="36"/>
        </w:rPr>
        <w:lastRenderedPageBreak/>
        <w:t>2.7 Synthesis and stud</w:t>
      </w:r>
      <w:r w:rsidRPr="00F36C89">
        <w:rPr>
          <w:b/>
          <w:bCs/>
          <w:color w:val="1F7A8C"/>
          <w:sz w:val="36"/>
          <w:szCs w:val="36"/>
        </w:rPr>
        <w:t>y rationale</w:t>
      </w:r>
    </w:p>
    <w:p w:rsidR="00715923" w:rsidRPr="00F36C89" w:rsidRDefault="007E7FEE">
      <w:pPr>
        <w:spacing w:after="140"/>
        <w:jc w:val="both"/>
        <w:rPr>
          <w:sz w:val="32"/>
          <w:szCs w:val="32"/>
        </w:rPr>
      </w:pPr>
      <w:r w:rsidRPr="00F36C89">
        <w:rPr>
          <w:sz w:val="32"/>
          <w:szCs w:val="32"/>
        </w:rPr>
        <w:t>The targeted literature review located limited peer-reviewed evidence that jointly measures news exposure, objective personalisation awareness, source-evaluation performance, misinformation discernment, trust calibration, and responsible sharin</w:t>
      </w:r>
      <w:r w:rsidRPr="00F36C89">
        <w:rPr>
          <w:sz w:val="32"/>
          <w:szCs w:val="32"/>
        </w:rPr>
        <w:t>g specifically among Indian students in Classes IX and X. This is a bounded gap statement rather than a claim that no relevant Indian study exists; the field is developing quickly and indexing is uneven, so the review must be updated immediately before jou</w:t>
      </w:r>
      <w:r w:rsidRPr="00F36C89">
        <w:rPr>
          <w:sz w:val="32"/>
          <w:szCs w:val="32"/>
        </w:rPr>
        <w:t>rnal submission.</w:t>
      </w:r>
    </w:p>
    <w:p w:rsidR="00715923" w:rsidRPr="00F36C89" w:rsidRDefault="007E7FEE">
      <w:pPr>
        <w:spacing w:after="140"/>
        <w:jc w:val="both"/>
        <w:rPr>
          <w:sz w:val="32"/>
          <w:szCs w:val="32"/>
        </w:rPr>
      </w:pPr>
      <w:r w:rsidRPr="00F36C89">
        <w:rPr>
          <w:sz w:val="32"/>
          <w:szCs w:val="32"/>
        </w:rPr>
        <w:t>Six decisions follow from the literature. First, algorithmic news literacy is multidimensional and must not be reduced to platform use or to self-reported confidence. Second, objective and scenario-based items are required alongside self-r</w:t>
      </w:r>
      <w:r w:rsidRPr="00F36C89">
        <w:rPr>
          <w:sz w:val="32"/>
          <w:szCs w:val="32"/>
        </w:rPr>
        <w:t>eport. Third, source evaluation and verification form a distinct practical capability that links understanding to action. Fourth, misinformation susceptibility must be measured in a way that separates discernment from indiscriminate scepticism. Fifth, trus</w:t>
      </w:r>
      <w:r w:rsidRPr="00F36C89">
        <w:rPr>
          <w:sz w:val="32"/>
          <w:szCs w:val="32"/>
        </w:rPr>
        <w:t>t and confidence should be analysed as calibration variables rather than maximised. Sixth, behaviour is shaped by opportunity and institutional context, so interpretation must account for access, language, prior instruction, and school rules. These decisio</w:t>
      </w:r>
      <w:r w:rsidRPr="00F36C89">
        <w:rPr>
          <w:sz w:val="32"/>
          <w:szCs w:val="32"/>
        </w:rPr>
        <w:t>ns inform the framework, instrument, and hypotheses presented below.</w:t>
      </w:r>
    </w:p>
    <w:p w:rsidR="00715923" w:rsidRPr="00F36C89" w:rsidRDefault="007E7FEE">
      <w:pPr>
        <w:pStyle w:val="Heading1"/>
        <w:keepNext/>
        <w:pageBreakBefore/>
        <w:spacing w:before="320" w:after="160"/>
        <w:rPr>
          <w:sz w:val="32"/>
          <w:szCs w:val="32"/>
        </w:rPr>
      </w:pPr>
      <w:r w:rsidRPr="00F36C89">
        <w:rPr>
          <w:b/>
          <w:bCs/>
          <w:color w:val="1F3864"/>
          <w:sz w:val="40"/>
          <w:szCs w:val="40"/>
        </w:rPr>
        <w:lastRenderedPageBreak/>
        <w:t>3. Conceptual Framework</w:t>
      </w:r>
    </w:p>
    <w:p w:rsidR="00715923" w:rsidRPr="00F36C89" w:rsidRDefault="007E7FEE">
      <w:pPr>
        <w:spacing w:after="140"/>
        <w:jc w:val="both"/>
        <w:rPr>
          <w:sz w:val="32"/>
          <w:szCs w:val="32"/>
        </w:rPr>
      </w:pPr>
      <w:r w:rsidRPr="00F36C89">
        <w:rPr>
          <w:sz w:val="32"/>
          <w:szCs w:val="32"/>
        </w:rPr>
        <w:t>The proposed framework defines algorithmic news literacy as a set of interrelated capacities that enable a secondary-school student to recognise how news reaches t</w:t>
      </w:r>
      <w:r w:rsidRPr="00F36C89">
        <w:rPr>
          <w:sz w:val="32"/>
          <w:szCs w:val="32"/>
        </w:rPr>
        <w:t>hem, to interpret and act on platform selection at an age-appropriate level, to establish the provenance and quality of claims, to judge veracity without collapsing into indiscriminate distrust, to recognise privacy and targeting risks, and to behave respo</w:t>
      </w:r>
      <w:r w:rsidRPr="00F36C89">
        <w:rPr>
          <w:sz w:val="32"/>
          <w:szCs w:val="32"/>
        </w:rPr>
        <w:t>nsibly when deciding whether to accept, ignore, correct, or forward. It is a research model rather than a claim that a single latent trait explains every behaviour. The dimensions are examined separately first; a higher-order composite will be considered o</w:t>
      </w:r>
      <w:r w:rsidRPr="00F36C89">
        <w:rPr>
          <w:sz w:val="32"/>
          <w:szCs w:val="32"/>
        </w:rPr>
        <w:t>nly if theoretical coherence and empirical structure support it.</w:t>
      </w:r>
    </w:p>
    <w:p w:rsidR="00715923" w:rsidRPr="00F36C89" w:rsidRDefault="007E7FEE">
      <w:pPr>
        <w:keepNext/>
        <w:spacing w:before="200" w:after="80"/>
        <w:rPr>
          <w:sz w:val="32"/>
          <w:szCs w:val="32"/>
        </w:rPr>
      </w:pPr>
      <w:r w:rsidRPr="00F36C89">
        <w:rPr>
          <w:b/>
          <w:bCs/>
          <w:color w:val="1F3864"/>
          <w:sz w:val="28"/>
          <w:szCs w:val="28"/>
        </w:rPr>
        <w:t>Table 1. Proposed constructs and measurement approach</w:t>
      </w:r>
    </w:p>
    <w:tbl>
      <w:tblPr>
        <w:tblW w:w="9000" w:type="dxa"/>
        <w:tblBorders>
          <w:top w:val="single" w:sz="4" w:space="0" w:color="BFC9D6"/>
          <w:left w:val="single" w:sz="4" w:space="0" w:color="BFC9D6"/>
          <w:bottom w:val="single" w:sz="4" w:space="0" w:color="BFC9D6"/>
          <w:right w:val="single" w:sz="4" w:space="0" w:color="BFC9D6"/>
          <w:insideH w:val="single" w:sz="4" w:space="0" w:color="BFC9D6"/>
          <w:insideV w:val="single" w:sz="4" w:space="0" w:color="BFC9D6"/>
        </w:tblBorders>
        <w:tblCellMar>
          <w:left w:w="10" w:type="dxa"/>
          <w:right w:w="10" w:type="dxa"/>
        </w:tblCellMar>
        <w:tblLook w:val="04A0" w:firstRow="1" w:lastRow="0" w:firstColumn="1" w:lastColumn="0" w:noHBand="0" w:noVBand="1"/>
      </w:tblPr>
      <w:tblGrid>
        <w:gridCol w:w="1900"/>
        <w:gridCol w:w="3900"/>
        <w:gridCol w:w="3200"/>
      </w:tblGrid>
      <w:tr w:rsidR="00715923" w:rsidRPr="00F36C89">
        <w:tblPrEx>
          <w:tblCellMar>
            <w:top w:w="0" w:type="dxa"/>
            <w:bottom w:w="0" w:type="dxa"/>
          </w:tblCellMar>
        </w:tblPrEx>
        <w:trPr>
          <w:tblHeader/>
        </w:trPr>
        <w:tc>
          <w:tcPr>
            <w:tcW w:w="1900" w:type="dxa"/>
            <w:shd w:val="clear" w:color="auto" w:fill="1F3864"/>
            <w:tcMar>
              <w:top w:w="70" w:type="dxa"/>
              <w:left w:w="100" w:type="dxa"/>
              <w:bottom w:w="70" w:type="dxa"/>
              <w:right w:w="100" w:type="dxa"/>
            </w:tcMar>
          </w:tcPr>
          <w:p w:rsidR="00715923" w:rsidRPr="00F36C89" w:rsidRDefault="007E7FEE">
            <w:pPr>
              <w:rPr>
                <w:sz w:val="32"/>
                <w:szCs w:val="32"/>
              </w:rPr>
            </w:pPr>
            <w:r w:rsidRPr="00F36C89">
              <w:rPr>
                <w:b/>
                <w:bCs/>
                <w:color w:val="FFFFFF"/>
                <w:sz w:val="24"/>
                <w:szCs w:val="24"/>
              </w:rPr>
              <w:t>Construct</w:t>
            </w:r>
          </w:p>
        </w:tc>
        <w:tc>
          <w:tcPr>
            <w:tcW w:w="3900" w:type="dxa"/>
            <w:shd w:val="clear" w:color="auto" w:fill="1F3864"/>
            <w:tcMar>
              <w:top w:w="70" w:type="dxa"/>
              <w:left w:w="100" w:type="dxa"/>
              <w:bottom w:w="70" w:type="dxa"/>
              <w:right w:w="100" w:type="dxa"/>
            </w:tcMar>
          </w:tcPr>
          <w:p w:rsidR="00715923" w:rsidRPr="00F36C89" w:rsidRDefault="007E7FEE">
            <w:pPr>
              <w:rPr>
                <w:sz w:val="32"/>
                <w:szCs w:val="32"/>
              </w:rPr>
            </w:pPr>
            <w:r w:rsidRPr="00F36C89">
              <w:rPr>
                <w:b/>
                <w:bCs/>
                <w:color w:val="FFFFFF"/>
                <w:sz w:val="24"/>
                <w:szCs w:val="24"/>
              </w:rPr>
              <w:t>Operational meaning</w:t>
            </w:r>
          </w:p>
        </w:tc>
        <w:tc>
          <w:tcPr>
            <w:tcW w:w="3200" w:type="dxa"/>
            <w:shd w:val="clear" w:color="auto" w:fill="1F3864"/>
            <w:tcMar>
              <w:top w:w="70" w:type="dxa"/>
              <w:left w:w="100" w:type="dxa"/>
              <w:bottom w:w="70" w:type="dxa"/>
              <w:right w:w="100" w:type="dxa"/>
            </w:tcMar>
          </w:tcPr>
          <w:p w:rsidR="00715923" w:rsidRPr="00F36C89" w:rsidRDefault="007E7FEE">
            <w:pPr>
              <w:rPr>
                <w:sz w:val="32"/>
                <w:szCs w:val="32"/>
              </w:rPr>
            </w:pPr>
            <w:r w:rsidRPr="00F36C89">
              <w:rPr>
                <w:b/>
                <w:bCs/>
                <w:color w:val="FFFFFF"/>
                <w:sz w:val="24"/>
                <w:szCs w:val="24"/>
              </w:rPr>
              <w:t>Primary evidence</w:t>
            </w:r>
          </w:p>
        </w:tc>
      </w:tr>
      <w:tr w:rsidR="00715923" w:rsidRPr="00F36C89">
        <w:tblPrEx>
          <w:tblCellMar>
            <w:top w:w="0" w:type="dxa"/>
            <w:bottom w:w="0" w:type="dxa"/>
          </w:tblCellMar>
        </w:tblPrEx>
        <w:tc>
          <w:tcPr>
            <w:tcW w:w="1900" w:type="dxa"/>
            <w:tcMar>
              <w:top w:w="70" w:type="dxa"/>
              <w:left w:w="100" w:type="dxa"/>
              <w:bottom w:w="70" w:type="dxa"/>
              <w:right w:w="100" w:type="dxa"/>
            </w:tcMar>
          </w:tcPr>
          <w:p w:rsidR="00715923" w:rsidRPr="00F36C89" w:rsidRDefault="007E7FEE">
            <w:pPr>
              <w:rPr>
                <w:sz w:val="32"/>
                <w:szCs w:val="32"/>
              </w:rPr>
            </w:pPr>
            <w:r w:rsidRPr="00F36C89">
              <w:rPr>
                <w:sz w:val="24"/>
                <w:szCs w:val="24"/>
              </w:rPr>
              <w:t>Algorithmic and personalisation awareness</w:t>
            </w:r>
          </w:p>
        </w:tc>
        <w:tc>
          <w:tcPr>
            <w:tcW w:w="3900" w:type="dxa"/>
            <w:tcMar>
              <w:top w:w="70" w:type="dxa"/>
              <w:left w:w="100" w:type="dxa"/>
              <w:bottom w:w="70" w:type="dxa"/>
              <w:right w:w="100" w:type="dxa"/>
            </w:tcMar>
          </w:tcPr>
          <w:p w:rsidR="00715923" w:rsidRPr="00F36C89" w:rsidRDefault="007E7FEE">
            <w:pPr>
              <w:rPr>
                <w:sz w:val="32"/>
                <w:szCs w:val="32"/>
              </w:rPr>
            </w:pPr>
            <w:r w:rsidRPr="00F36C89">
              <w:rPr>
                <w:sz w:val="24"/>
                <w:szCs w:val="24"/>
              </w:rPr>
              <w:t>Age-appropriate knowledge that feeds are selected and ranked, what signals drive selection, why two students see different content, and how engagement optimisation relates to what is shown.</w:t>
            </w:r>
          </w:p>
        </w:tc>
        <w:tc>
          <w:tcPr>
            <w:tcW w:w="3200" w:type="dxa"/>
            <w:tcMar>
              <w:top w:w="70" w:type="dxa"/>
              <w:left w:w="100" w:type="dxa"/>
              <w:bottom w:w="70" w:type="dxa"/>
              <w:right w:w="100" w:type="dxa"/>
            </w:tcMar>
          </w:tcPr>
          <w:p w:rsidR="00715923" w:rsidRPr="00F36C89" w:rsidRDefault="007E7FEE">
            <w:pPr>
              <w:rPr>
                <w:sz w:val="32"/>
                <w:szCs w:val="32"/>
              </w:rPr>
            </w:pPr>
            <w:r w:rsidRPr="00F36C89">
              <w:rPr>
                <w:sz w:val="24"/>
                <w:szCs w:val="24"/>
              </w:rPr>
              <w:t>Objective multiple-choice items</w:t>
            </w:r>
          </w:p>
        </w:tc>
      </w:tr>
      <w:tr w:rsidR="00715923" w:rsidRPr="00F36C89">
        <w:tblPrEx>
          <w:tblCellMar>
            <w:top w:w="0" w:type="dxa"/>
            <w:bottom w:w="0" w:type="dxa"/>
          </w:tblCellMar>
        </w:tblPrEx>
        <w:tc>
          <w:tcPr>
            <w:tcW w:w="1900" w:type="dxa"/>
            <w:tcMar>
              <w:top w:w="70" w:type="dxa"/>
              <w:left w:w="100" w:type="dxa"/>
              <w:bottom w:w="70" w:type="dxa"/>
              <w:right w:w="100" w:type="dxa"/>
            </w:tcMar>
          </w:tcPr>
          <w:p w:rsidR="00715923" w:rsidRPr="00F36C89" w:rsidRDefault="007E7FEE">
            <w:pPr>
              <w:rPr>
                <w:sz w:val="32"/>
                <w:szCs w:val="32"/>
              </w:rPr>
            </w:pPr>
            <w:r w:rsidRPr="00F36C89">
              <w:rPr>
                <w:sz w:val="24"/>
                <w:szCs w:val="24"/>
              </w:rPr>
              <w:t>Applied platform competence</w:t>
            </w:r>
          </w:p>
        </w:tc>
        <w:tc>
          <w:tcPr>
            <w:tcW w:w="3900" w:type="dxa"/>
            <w:tcMar>
              <w:top w:w="70" w:type="dxa"/>
              <w:left w:w="100" w:type="dxa"/>
              <w:bottom w:w="70" w:type="dxa"/>
              <w:right w:w="100" w:type="dxa"/>
            </w:tcMar>
          </w:tcPr>
          <w:p w:rsidR="00715923" w:rsidRPr="00F36C89" w:rsidRDefault="007E7FEE">
            <w:pPr>
              <w:rPr>
                <w:sz w:val="32"/>
                <w:szCs w:val="32"/>
              </w:rPr>
            </w:pPr>
            <w:r w:rsidRPr="00F36C89">
              <w:rPr>
                <w:sz w:val="24"/>
                <w:szCs w:val="24"/>
              </w:rPr>
              <w:t>Perceived ability to trace a post back to its original publisher, use platform controls and settings, search for corroboration, and choose appropriate sources for a specific information need.</w:t>
            </w:r>
          </w:p>
        </w:tc>
        <w:tc>
          <w:tcPr>
            <w:tcW w:w="3200" w:type="dxa"/>
            <w:tcMar>
              <w:top w:w="70" w:type="dxa"/>
              <w:left w:w="100" w:type="dxa"/>
              <w:bottom w:w="70" w:type="dxa"/>
              <w:right w:w="100" w:type="dxa"/>
            </w:tcMar>
          </w:tcPr>
          <w:p w:rsidR="00715923" w:rsidRPr="00F36C89" w:rsidRDefault="007E7FEE">
            <w:pPr>
              <w:rPr>
                <w:sz w:val="32"/>
                <w:szCs w:val="32"/>
              </w:rPr>
            </w:pPr>
            <w:r w:rsidRPr="00F36C89">
              <w:rPr>
                <w:sz w:val="24"/>
                <w:szCs w:val="24"/>
              </w:rPr>
              <w:t>Agreement-scale items</w:t>
            </w:r>
          </w:p>
        </w:tc>
      </w:tr>
      <w:tr w:rsidR="00715923" w:rsidRPr="00F36C89">
        <w:tblPrEx>
          <w:tblCellMar>
            <w:top w:w="0" w:type="dxa"/>
            <w:bottom w:w="0" w:type="dxa"/>
          </w:tblCellMar>
        </w:tblPrEx>
        <w:tc>
          <w:tcPr>
            <w:tcW w:w="1900" w:type="dxa"/>
            <w:tcMar>
              <w:top w:w="70" w:type="dxa"/>
              <w:left w:w="100" w:type="dxa"/>
              <w:bottom w:w="70" w:type="dxa"/>
              <w:right w:w="100" w:type="dxa"/>
            </w:tcMar>
          </w:tcPr>
          <w:p w:rsidR="00715923" w:rsidRPr="00F36C89" w:rsidRDefault="007E7FEE">
            <w:pPr>
              <w:rPr>
                <w:sz w:val="32"/>
                <w:szCs w:val="32"/>
              </w:rPr>
            </w:pPr>
            <w:r w:rsidRPr="00F36C89">
              <w:rPr>
                <w:sz w:val="24"/>
                <w:szCs w:val="24"/>
              </w:rPr>
              <w:t>Source evaluation and verification</w:t>
            </w:r>
          </w:p>
        </w:tc>
        <w:tc>
          <w:tcPr>
            <w:tcW w:w="3900" w:type="dxa"/>
            <w:tcMar>
              <w:top w:w="70" w:type="dxa"/>
              <w:left w:w="100" w:type="dxa"/>
              <w:bottom w:w="70" w:type="dxa"/>
              <w:right w:w="100" w:type="dxa"/>
            </w:tcMar>
          </w:tcPr>
          <w:p w:rsidR="00715923" w:rsidRPr="00F36C89" w:rsidRDefault="007E7FEE">
            <w:pPr>
              <w:rPr>
                <w:sz w:val="32"/>
                <w:szCs w:val="32"/>
              </w:rPr>
            </w:pPr>
            <w:r w:rsidRPr="00F36C89">
              <w:rPr>
                <w:sz w:val="24"/>
                <w:szCs w:val="24"/>
              </w:rPr>
              <w:t>Routin</w:t>
            </w:r>
            <w:r w:rsidRPr="00F36C89">
              <w:rPr>
                <w:sz w:val="24"/>
                <w:szCs w:val="24"/>
              </w:rPr>
              <w:t>e and demonstrated ability to establish provenance, open and inspect links, check dates and image reuse, and compare claims against independent evidence before accepting them.</w:t>
            </w:r>
          </w:p>
        </w:tc>
        <w:tc>
          <w:tcPr>
            <w:tcW w:w="3200" w:type="dxa"/>
            <w:tcMar>
              <w:top w:w="70" w:type="dxa"/>
              <w:left w:w="100" w:type="dxa"/>
              <w:bottom w:w="70" w:type="dxa"/>
              <w:right w:w="100" w:type="dxa"/>
            </w:tcMar>
          </w:tcPr>
          <w:p w:rsidR="00715923" w:rsidRPr="00F36C89" w:rsidRDefault="007E7FEE">
            <w:pPr>
              <w:rPr>
                <w:sz w:val="32"/>
                <w:szCs w:val="32"/>
              </w:rPr>
            </w:pPr>
            <w:r w:rsidRPr="00F36C89">
              <w:rPr>
                <w:sz w:val="24"/>
                <w:szCs w:val="24"/>
              </w:rPr>
              <w:t>Frequency items and scenarios</w:t>
            </w:r>
          </w:p>
        </w:tc>
      </w:tr>
      <w:tr w:rsidR="00715923" w:rsidRPr="00F36C89">
        <w:tblPrEx>
          <w:tblCellMar>
            <w:top w:w="0" w:type="dxa"/>
            <w:bottom w:w="0" w:type="dxa"/>
          </w:tblCellMar>
        </w:tblPrEx>
        <w:tc>
          <w:tcPr>
            <w:tcW w:w="1900" w:type="dxa"/>
            <w:tcMar>
              <w:top w:w="70" w:type="dxa"/>
              <w:left w:w="100" w:type="dxa"/>
              <w:bottom w:w="70" w:type="dxa"/>
              <w:right w:w="100" w:type="dxa"/>
            </w:tcMar>
          </w:tcPr>
          <w:p w:rsidR="00715923" w:rsidRPr="00F36C89" w:rsidRDefault="007E7FEE">
            <w:pPr>
              <w:rPr>
                <w:sz w:val="32"/>
                <w:szCs w:val="32"/>
              </w:rPr>
            </w:pPr>
            <w:r w:rsidRPr="00F36C89">
              <w:rPr>
                <w:sz w:val="24"/>
                <w:szCs w:val="24"/>
              </w:rPr>
              <w:t>Misinformation susceptibility</w:t>
            </w:r>
          </w:p>
        </w:tc>
        <w:tc>
          <w:tcPr>
            <w:tcW w:w="3900" w:type="dxa"/>
            <w:tcMar>
              <w:top w:w="70" w:type="dxa"/>
              <w:left w:w="100" w:type="dxa"/>
              <w:bottom w:w="70" w:type="dxa"/>
              <w:right w:w="100" w:type="dxa"/>
            </w:tcMar>
          </w:tcPr>
          <w:p w:rsidR="00715923" w:rsidRPr="00F36C89" w:rsidRDefault="007E7FEE">
            <w:pPr>
              <w:rPr>
                <w:sz w:val="32"/>
                <w:szCs w:val="32"/>
              </w:rPr>
            </w:pPr>
            <w:r w:rsidRPr="00F36C89">
              <w:rPr>
                <w:sz w:val="24"/>
                <w:szCs w:val="24"/>
              </w:rPr>
              <w:t>Accuracy in distinguishing plausible true from plausible false news headlines, reported separately from directional bias toward acceptance or rejection.</w:t>
            </w:r>
          </w:p>
        </w:tc>
        <w:tc>
          <w:tcPr>
            <w:tcW w:w="3200" w:type="dxa"/>
            <w:tcMar>
              <w:top w:w="70" w:type="dxa"/>
              <w:left w:w="100" w:type="dxa"/>
              <w:bottom w:w="70" w:type="dxa"/>
              <w:right w:w="100" w:type="dxa"/>
            </w:tcMar>
          </w:tcPr>
          <w:p w:rsidR="00715923" w:rsidRPr="00F36C89" w:rsidRDefault="007E7FEE">
            <w:pPr>
              <w:rPr>
                <w:sz w:val="32"/>
                <w:szCs w:val="32"/>
              </w:rPr>
            </w:pPr>
            <w:r w:rsidRPr="00F36C89">
              <w:rPr>
                <w:sz w:val="24"/>
                <w:szCs w:val="24"/>
              </w:rPr>
              <w:t>Balanced headline judgement task</w:t>
            </w:r>
          </w:p>
        </w:tc>
      </w:tr>
      <w:tr w:rsidR="00715923" w:rsidRPr="00F36C89">
        <w:tblPrEx>
          <w:tblCellMar>
            <w:top w:w="0" w:type="dxa"/>
            <w:bottom w:w="0" w:type="dxa"/>
          </w:tblCellMar>
        </w:tblPrEx>
        <w:tc>
          <w:tcPr>
            <w:tcW w:w="1900" w:type="dxa"/>
            <w:tcMar>
              <w:top w:w="70" w:type="dxa"/>
              <w:left w:w="100" w:type="dxa"/>
              <w:bottom w:w="70" w:type="dxa"/>
              <w:right w:w="100" w:type="dxa"/>
            </w:tcMar>
          </w:tcPr>
          <w:p w:rsidR="00715923" w:rsidRPr="00F36C89" w:rsidRDefault="007E7FEE">
            <w:pPr>
              <w:rPr>
                <w:sz w:val="32"/>
                <w:szCs w:val="32"/>
              </w:rPr>
            </w:pPr>
            <w:r w:rsidRPr="00F36C89">
              <w:rPr>
                <w:sz w:val="24"/>
                <w:szCs w:val="24"/>
              </w:rPr>
              <w:t>Risk and ethical awareness</w:t>
            </w:r>
          </w:p>
        </w:tc>
        <w:tc>
          <w:tcPr>
            <w:tcW w:w="3900" w:type="dxa"/>
            <w:tcMar>
              <w:top w:w="70" w:type="dxa"/>
              <w:left w:w="100" w:type="dxa"/>
              <w:bottom w:w="70" w:type="dxa"/>
              <w:right w:w="100" w:type="dxa"/>
            </w:tcMar>
          </w:tcPr>
          <w:p w:rsidR="00715923" w:rsidRPr="00F36C89" w:rsidRDefault="007E7FEE">
            <w:pPr>
              <w:rPr>
                <w:sz w:val="32"/>
                <w:szCs w:val="32"/>
              </w:rPr>
            </w:pPr>
            <w:r w:rsidRPr="00F36C89">
              <w:rPr>
                <w:sz w:val="24"/>
                <w:szCs w:val="24"/>
              </w:rPr>
              <w:t>Recognition of privacy and data-collection</w:t>
            </w:r>
            <w:r w:rsidRPr="00F36C89">
              <w:rPr>
                <w:sz w:val="24"/>
                <w:szCs w:val="24"/>
              </w:rPr>
              <w:t xml:space="preserve"> risk, targeted persuasion, manipulated and synthetic media, harm from forwarding, and the civic </w:t>
            </w:r>
            <w:r w:rsidRPr="00F36C89">
              <w:rPr>
                <w:sz w:val="24"/>
                <w:szCs w:val="24"/>
              </w:rPr>
              <w:lastRenderedPageBreak/>
              <w:t>consequences of unverified circulation.</w:t>
            </w:r>
          </w:p>
        </w:tc>
        <w:tc>
          <w:tcPr>
            <w:tcW w:w="3200" w:type="dxa"/>
            <w:tcMar>
              <w:top w:w="70" w:type="dxa"/>
              <w:left w:w="100" w:type="dxa"/>
              <w:bottom w:w="70" w:type="dxa"/>
              <w:right w:w="100" w:type="dxa"/>
            </w:tcMar>
          </w:tcPr>
          <w:p w:rsidR="00715923" w:rsidRPr="00F36C89" w:rsidRDefault="007E7FEE">
            <w:pPr>
              <w:rPr>
                <w:sz w:val="32"/>
                <w:szCs w:val="32"/>
              </w:rPr>
            </w:pPr>
            <w:r w:rsidRPr="00F36C89">
              <w:rPr>
                <w:sz w:val="24"/>
                <w:szCs w:val="24"/>
              </w:rPr>
              <w:lastRenderedPageBreak/>
              <w:t>Knowledge and agreement items</w:t>
            </w:r>
          </w:p>
        </w:tc>
      </w:tr>
      <w:tr w:rsidR="00715923" w:rsidRPr="00F36C89">
        <w:tblPrEx>
          <w:tblCellMar>
            <w:top w:w="0" w:type="dxa"/>
            <w:bottom w:w="0" w:type="dxa"/>
          </w:tblCellMar>
        </w:tblPrEx>
        <w:tc>
          <w:tcPr>
            <w:tcW w:w="1900" w:type="dxa"/>
            <w:tcMar>
              <w:top w:w="70" w:type="dxa"/>
              <w:left w:w="100" w:type="dxa"/>
              <w:bottom w:w="70" w:type="dxa"/>
              <w:right w:w="100" w:type="dxa"/>
            </w:tcMar>
          </w:tcPr>
          <w:p w:rsidR="00715923" w:rsidRPr="00F36C89" w:rsidRDefault="007E7FEE">
            <w:pPr>
              <w:rPr>
                <w:sz w:val="32"/>
                <w:szCs w:val="32"/>
              </w:rPr>
            </w:pPr>
            <w:r w:rsidRPr="00F36C89">
              <w:rPr>
                <w:sz w:val="24"/>
                <w:szCs w:val="24"/>
              </w:rPr>
              <w:lastRenderedPageBreak/>
              <w:t>Responsible sharing behaviour</w:t>
            </w:r>
          </w:p>
        </w:tc>
        <w:tc>
          <w:tcPr>
            <w:tcW w:w="3900" w:type="dxa"/>
            <w:tcMar>
              <w:top w:w="70" w:type="dxa"/>
              <w:left w:w="100" w:type="dxa"/>
              <w:bottom w:w="70" w:type="dxa"/>
              <w:right w:w="100" w:type="dxa"/>
            </w:tcMar>
          </w:tcPr>
          <w:p w:rsidR="00715923" w:rsidRPr="00F36C89" w:rsidRDefault="007E7FEE">
            <w:pPr>
              <w:rPr>
                <w:sz w:val="32"/>
                <w:szCs w:val="32"/>
              </w:rPr>
            </w:pPr>
            <w:r w:rsidRPr="00F36C89">
              <w:rPr>
                <w:sz w:val="24"/>
                <w:szCs w:val="24"/>
              </w:rPr>
              <w:t>Reported practices that pause before forwarding, verify before sharing, correct or retract, avoid amplifying harmful content, and seek adult or teacher help when stakes are high.</w:t>
            </w:r>
          </w:p>
        </w:tc>
        <w:tc>
          <w:tcPr>
            <w:tcW w:w="3200" w:type="dxa"/>
            <w:tcMar>
              <w:top w:w="70" w:type="dxa"/>
              <w:left w:w="100" w:type="dxa"/>
              <w:bottom w:w="70" w:type="dxa"/>
              <w:right w:w="100" w:type="dxa"/>
            </w:tcMar>
          </w:tcPr>
          <w:p w:rsidR="00715923" w:rsidRPr="00F36C89" w:rsidRDefault="007E7FEE">
            <w:pPr>
              <w:rPr>
                <w:sz w:val="32"/>
                <w:szCs w:val="32"/>
              </w:rPr>
            </w:pPr>
            <w:r w:rsidRPr="00F36C89">
              <w:rPr>
                <w:sz w:val="24"/>
                <w:szCs w:val="24"/>
              </w:rPr>
              <w:t>Behavioural-frequency and intention items</w:t>
            </w:r>
          </w:p>
        </w:tc>
      </w:tr>
      <w:tr w:rsidR="00715923" w:rsidRPr="00F36C89">
        <w:tblPrEx>
          <w:tblCellMar>
            <w:top w:w="0" w:type="dxa"/>
            <w:bottom w:w="0" w:type="dxa"/>
          </w:tblCellMar>
        </w:tblPrEx>
        <w:tc>
          <w:tcPr>
            <w:tcW w:w="1900" w:type="dxa"/>
            <w:tcMar>
              <w:top w:w="70" w:type="dxa"/>
              <w:left w:w="100" w:type="dxa"/>
              <w:bottom w:w="70" w:type="dxa"/>
              <w:right w:w="100" w:type="dxa"/>
            </w:tcMar>
          </w:tcPr>
          <w:p w:rsidR="00715923" w:rsidRPr="00F36C89" w:rsidRDefault="007E7FEE">
            <w:pPr>
              <w:rPr>
                <w:sz w:val="32"/>
                <w:szCs w:val="32"/>
              </w:rPr>
            </w:pPr>
            <w:r w:rsidRPr="00F36C89">
              <w:rPr>
                <w:sz w:val="24"/>
                <w:szCs w:val="24"/>
              </w:rPr>
              <w:t>Trust calibration and confidence</w:t>
            </w:r>
          </w:p>
        </w:tc>
        <w:tc>
          <w:tcPr>
            <w:tcW w:w="3900" w:type="dxa"/>
            <w:tcMar>
              <w:top w:w="70" w:type="dxa"/>
              <w:left w:w="100" w:type="dxa"/>
              <w:bottom w:w="70" w:type="dxa"/>
              <w:right w:w="100" w:type="dxa"/>
            </w:tcMar>
          </w:tcPr>
          <w:p w:rsidR="00715923" w:rsidRPr="00F36C89" w:rsidRDefault="007E7FEE">
            <w:pPr>
              <w:rPr>
                <w:sz w:val="32"/>
                <w:szCs w:val="32"/>
              </w:rPr>
            </w:pPr>
            <w:r w:rsidRPr="00F36C89">
              <w:rPr>
                <w:sz w:val="24"/>
                <w:szCs w:val="24"/>
              </w:rPr>
              <w:t>C</w:t>
            </w:r>
            <w:r w:rsidRPr="00F36C89">
              <w:rPr>
                <w:sz w:val="24"/>
                <w:szCs w:val="24"/>
              </w:rPr>
              <w:t>onditional confidence in news content that varies with source, evidence, and consequence, together with self-rated judgement ability compared against measured discernment.</w:t>
            </w:r>
          </w:p>
        </w:tc>
        <w:tc>
          <w:tcPr>
            <w:tcW w:w="3200" w:type="dxa"/>
            <w:tcMar>
              <w:top w:w="70" w:type="dxa"/>
              <w:left w:w="100" w:type="dxa"/>
              <w:bottom w:w="70" w:type="dxa"/>
              <w:right w:w="100" w:type="dxa"/>
            </w:tcMar>
          </w:tcPr>
          <w:p w:rsidR="00715923" w:rsidRPr="00F36C89" w:rsidRDefault="007E7FEE">
            <w:pPr>
              <w:rPr>
                <w:sz w:val="32"/>
                <w:szCs w:val="32"/>
              </w:rPr>
            </w:pPr>
            <w:r w:rsidRPr="00F36C89">
              <w:rPr>
                <w:sz w:val="24"/>
                <w:szCs w:val="24"/>
              </w:rPr>
              <w:t>Task-sensitive trust items; confidence-accuracy comparison</w:t>
            </w:r>
          </w:p>
        </w:tc>
      </w:tr>
    </w:tbl>
    <w:p w:rsidR="00715923" w:rsidRPr="00F36C89" w:rsidRDefault="007E7FEE">
      <w:pPr>
        <w:spacing w:after="200"/>
        <w:jc w:val="both"/>
        <w:rPr>
          <w:sz w:val="32"/>
          <w:szCs w:val="32"/>
        </w:rPr>
      </w:pPr>
      <w:r w:rsidRPr="00F36C89">
        <w:rPr>
          <w:color w:val="595959"/>
          <w:sz w:val="24"/>
          <w:szCs w:val="24"/>
        </w:rPr>
        <w:t>Note. Construct labels a</w:t>
      </w:r>
      <w:r w:rsidRPr="00F36C89">
        <w:rPr>
          <w:color w:val="595959"/>
          <w:sz w:val="24"/>
          <w:szCs w:val="24"/>
        </w:rPr>
        <w:t>re study-specific and informed by prior algorithm-awareness, civic online reasoning, misinformation-measurement, media and information literacy, and child-centred risk frameworks. Operational definitions will be revised after expert review and cognitive in</w:t>
      </w:r>
      <w:r w:rsidRPr="00F36C89">
        <w:rPr>
          <w:color w:val="595959"/>
          <w:sz w:val="24"/>
          <w:szCs w:val="24"/>
        </w:rPr>
        <w:t>terviewing.</w:t>
      </w:r>
    </w:p>
    <w:p w:rsidR="00715923" w:rsidRPr="00F36C89" w:rsidRDefault="007E7FEE">
      <w:pPr>
        <w:keepNext/>
        <w:spacing w:before="200" w:after="80"/>
        <w:rPr>
          <w:sz w:val="32"/>
          <w:szCs w:val="32"/>
        </w:rPr>
      </w:pPr>
      <w:r w:rsidRPr="00F36C89">
        <w:rPr>
          <w:b/>
          <w:bCs/>
          <w:color w:val="1F3864"/>
          <w:sz w:val="28"/>
          <w:szCs w:val="28"/>
        </w:rPr>
        <w:t>Fig 1. Proposed conceptual framework</w:t>
      </w:r>
    </w:p>
    <w:p w:rsidR="00715923" w:rsidRPr="00F36C89" w:rsidRDefault="007E7FEE">
      <w:pPr>
        <w:spacing w:after="200"/>
        <w:jc w:val="both"/>
        <w:rPr>
          <w:sz w:val="32"/>
          <w:szCs w:val="32"/>
        </w:rPr>
      </w:pPr>
      <w:r w:rsidRPr="00F36C89">
        <w:rPr>
          <w:color w:val="595959"/>
          <w:sz w:val="24"/>
          <w:szCs w:val="24"/>
        </w:rPr>
        <w:t>Note. Original conceptual diagram developed for this study and supplied as a separate figure file (Fig1). Arrows represent hypothesised directional associations, not established causal effects.</w:t>
      </w:r>
    </w:p>
    <w:p w:rsidR="00715923" w:rsidRPr="00F36C89" w:rsidRDefault="007E7FEE">
      <w:pPr>
        <w:spacing w:after="140"/>
        <w:jc w:val="both"/>
        <w:rPr>
          <w:sz w:val="32"/>
          <w:szCs w:val="32"/>
        </w:rPr>
      </w:pPr>
      <w:r w:rsidRPr="00F36C89">
        <w:rPr>
          <w:sz w:val="32"/>
          <w:szCs w:val="32"/>
        </w:rPr>
        <w:t>Figure 1 posi</w:t>
      </w:r>
      <w:r w:rsidRPr="00F36C89">
        <w:rPr>
          <w:sz w:val="32"/>
          <w:szCs w:val="32"/>
        </w:rPr>
        <w:t>tions contextual conditions as antecedents of opportunity and exposure rather than as components of literacy. Algorithmic and personalisation awareness, applied platform competence, and risk and ethical awareness may each support source evaluation and resp</w:t>
      </w:r>
      <w:r w:rsidRPr="00F36C89">
        <w:rPr>
          <w:sz w:val="32"/>
          <w:szCs w:val="32"/>
        </w:rPr>
        <w:t>onsible behaviour. Source evaluation and verification provide the central pathway from knowledge to action, because they determine whether a claim is accepted, ignored, investigated, corrected, or forwarded. Misinformation susceptibility is positioned as a</w:t>
      </w:r>
      <w:r w:rsidRPr="00F36C89">
        <w:rPr>
          <w:sz w:val="32"/>
          <w:szCs w:val="32"/>
        </w:rPr>
        <w:t>n outcome of that evaluative pathway and, together with trust and confidence, as a calibration indicator: it shows whether judgement tracks evidence. Because the planned design is cross-sectional, arrows express theoretical direction only; causal claims wi</w:t>
      </w:r>
      <w:r w:rsidRPr="00F36C89">
        <w:rPr>
          <w:sz w:val="32"/>
          <w:szCs w:val="32"/>
        </w:rPr>
        <w:t>ll not be made from observed associations.</w:t>
      </w:r>
    </w:p>
    <w:p w:rsidR="00715923" w:rsidRPr="00F36C89" w:rsidRDefault="007E7FEE">
      <w:pPr>
        <w:pStyle w:val="Heading1"/>
        <w:keepNext/>
        <w:spacing w:before="320" w:after="160"/>
        <w:rPr>
          <w:sz w:val="32"/>
          <w:szCs w:val="32"/>
        </w:rPr>
      </w:pPr>
      <w:r w:rsidRPr="00F36C89">
        <w:rPr>
          <w:b/>
          <w:bCs/>
          <w:color w:val="1F3864"/>
          <w:sz w:val="40"/>
          <w:szCs w:val="40"/>
        </w:rPr>
        <w:lastRenderedPageBreak/>
        <w:t>4. Aim, Objectives, Research Questions, and Hypotheses</w:t>
      </w:r>
    </w:p>
    <w:p w:rsidR="00715923" w:rsidRPr="00F36C89" w:rsidRDefault="007E7FEE">
      <w:pPr>
        <w:pStyle w:val="Heading2"/>
        <w:keepNext/>
        <w:spacing w:before="260" w:after="120"/>
        <w:rPr>
          <w:sz w:val="32"/>
          <w:szCs w:val="32"/>
        </w:rPr>
      </w:pPr>
      <w:r w:rsidRPr="00F36C89">
        <w:rPr>
          <w:b/>
          <w:bCs/>
          <w:color w:val="1F7A8C"/>
          <w:sz w:val="36"/>
          <w:szCs w:val="36"/>
        </w:rPr>
        <w:t>4.1 Aim</w:t>
      </w:r>
    </w:p>
    <w:p w:rsidR="00715923" w:rsidRPr="00F36C89" w:rsidRDefault="007E7FEE">
      <w:pPr>
        <w:spacing w:after="140"/>
        <w:jc w:val="both"/>
        <w:rPr>
          <w:sz w:val="32"/>
          <w:szCs w:val="32"/>
        </w:rPr>
      </w:pPr>
      <w:r w:rsidRPr="00F36C89">
        <w:rPr>
          <w:sz w:val="32"/>
          <w:szCs w:val="32"/>
        </w:rPr>
        <w:t>To investigate the news exposure, access, personalisation awareness, applied platform competence, source evaluation and verification practices, misinformation susceptibility, trust calibration, risk perception, and responsible sharing behaviour of Indian s</w:t>
      </w:r>
      <w:r w:rsidRPr="00F36C89">
        <w:rPr>
          <w:sz w:val="32"/>
          <w:szCs w:val="32"/>
        </w:rPr>
        <w:t>econdary-school students in Classes IX and X within a transparently bounded multi-site sample.</w:t>
      </w:r>
    </w:p>
    <w:p w:rsidR="00715923" w:rsidRPr="00F36C89" w:rsidRDefault="007E7FEE">
      <w:pPr>
        <w:pStyle w:val="Heading2"/>
        <w:keepNext/>
        <w:spacing w:before="260" w:after="120"/>
        <w:rPr>
          <w:sz w:val="32"/>
          <w:szCs w:val="32"/>
        </w:rPr>
      </w:pPr>
      <w:r w:rsidRPr="00F36C89">
        <w:rPr>
          <w:b/>
          <w:bCs/>
          <w:color w:val="1F7A8C"/>
          <w:sz w:val="36"/>
          <w:szCs w:val="36"/>
        </w:rPr>
        <w:t>4.2 Objectives</w:t>
      </w:r>
    </w:p>
    <w:p w:rsidR="00715923" w:rsidRPr="00F36C89" w:rsidRDefault="007E7FEE">
      <w:pPr>
        <w:pStyle w:val="ListParagraph"/>
        <w:numPr>
          <w:ilvl w:val="0"/>
          <w:numId w:val="2"/>
        </w:numPr>
        <w:spacing w:after="80"/>
        <w:jc w:val="both"/>
        <w:rPr>
          <w:sz w:val="32"/>
          <w:szCs w:val="32"/>
        </w:rPr>
      </w:pPr>
      <w:r w:rsidRPr="00F36C89">
        <w:rPr>
          <w:sz w:val="32"/>
          <w:szCs w:val="32"/>
        </w:rPr>
        <w:t>Describe news exposure, platform repertoire, frequency and purposes of news use, language of news use, and sources of guidance about news.</w:t>
      </w:r>
    </w:p>
    <w:p w:rsidR="00715923" w:rsidRPr="00F36C89" w:rsidRDefault="007E7FEE">
      <w:pPr>
        <w:pStyle w:val="ListParagraph"/>
        <w:numPr>
          <w:ilvl w:val="0"/>
          <w:numId w:val="2"/>
        </w:numPr>
        <w:spacing w:after="80"/>
        <w:jc w:val="both"/>
        <w:rPr>
          <w:sz w:val="32"/>
          <w:szCs w:val="32"/>
        </w:rPr>
      </w:pPr>
      <w:r w:rsidRPr="00F36C89">
        <w:rPr>
          <w:sz w:val="32"/>
          <w:szCs w:val="32"/>
        </w:rPr>
        <w:t>Measure</w:t>
      </w:r>
      <w:r w:rsidRPr="00F36C89">
        <w:rPr>
          <w:sz w:val="32"/>
          <w:szCs w:val="32"/>
        </w:rPr>
        <w:t xml:space="preserve"> algorithmic and personalisation awareness, applied platform competence, source evaluation and verification, misinformation susceptibility, risk and ethical awareness, and responsible sharing behaviour using mixed item formats.</w:t>
      </w:r>
    </w:p>
    <w:p w:rsidR="00715923" w:rsidRPr="00F36C89" w:rsidRDefault="007E7FEE">
      <w:pPr>
        <w:pStyle w:val="ListParagraph"/>
        <w:numPr>
          <w:ilvl w:val="0"/>
          <w:numId w:val="2"/>
        </w:numPr>
        <w:spacing w:after="80"/>
        <w:jc w:val="both"/>
        <w:rPr>
          <w:sz w:val="32"/>
          <w:szCs w:val="32"/>
        </w:rPr>
      </w:pPr>
      <w:r w:rsidRPr="00F36C89">
        <w:rPr>
          <w:sz w:val="32"/>
          <w:szCs w:val="32"/>
        </w:rPr>
        <w:t>Examine the relationship bet</w:t>
      </w:r>
      <w:r w:rsidRPr="00F36C89">
        <w:rPr>
          <w:sz w:val="32"/>
          <w:szCs w:val="32"/>
        </w:rPr>
        <w:t>ween frequency of platform-based news use and the quality of source evaluation, rather than assuming that frequent exposure indicates stronger literacy.</w:t>
      </w:r>
    </w:p>
    <w:p w:rsidR="00715923" w:rsidRPr="00F36C89" w:rsidRDefault="007E7FEE">
      <w:pPr>
        <w:pStyle w:val="ListParagraph"/>
        <w:numPr>
          <w:ilvl w:val="0"/>
          <w:numId w:val="2"/>
        </w:numPr>
        <w:spacing w:after="80"/>
        <w:jc w:val="both"/>
        <w:rPr>
          <w:sz w:val="32"/>
          <w:szCs w:val="32"/>
        </w:rPr>
      </w:pPr>
      <w:r w:rsidRPr="00F36C89">
        <w:rPr>
          <w:sz w:val="32"/>
          <w:szCs w:val="32"/>
        </w:rPr>
        <w:t>Assess whether news trust and self-rated confidence are calibrated to evidence and consequence, and whe</w:t>
      </w:r>
      <w:r w:rsidRPr="00F36C89">
        <w:rPr>
          <w:sz w:val="32"/>
          <w:szCs w:val="32"/>
        </w:rPr>
        <w:t>ther confidence exceeds measured discernment.</w:t>
      </w:r>
    </w:p>
    <w:p w:rsidR="00715923" w:rsidRPr="00F36C89" w:rsidRDefault="007E7FEE">
      <w:pPr>
        <w:pStyle w:val="ListParagraph"/>
        <w:numPr>
          <w:ilvl w:val="0"/>
          <w:numId w:val="2"/>
        </w:numPr>
        <w:spacing w:after="80"/>
        <w:jc w:val="both"/>
        <w:rPr>
          <w:sz w:val="32"/>
          <w:szCs w:val="32"/>
        </w:rPr>
      </w:pPr>
      <w:r w:rsidRPr="00F36C89">
        <w:rPr>
          <w:sz w:val="32"/>
          <w:szCs w:val="32"/>
        </w:rPr>
        <w:t>Compare results by class, school type, location, language, device access, platform repertoire, and prior media-literacy instruction while reporting effect sizes and uncertainty.</w:t>
      </w:r>
    </w:p>
    <w:p w:rsidR="00715923" w:rsidRPr="00F36C89" w:rsidRDefault="007E7FEE">
      <w:pPr>
        <w:pStyle w:val="ListParagraph"/>
        <w:numPr>
          <w:ilvl w:val="0"/>
          <w:numId w:val="2"/>
        </w:numPr>
        <w:spacing w:after="80"/>
        <w:jc w:val="both"/>
        <w:rPr>
          <w:sz w:val="32"/>
          <w:szCs w:val="32"/>
        </w:rPr>
      </w:pPr>
      <w:r w:rsidRPr="00F36C89">
        <w:rPr>
          <w:sz w:val="32"/>
          <w:szCs w:val="32"/>
        </w:rPr>
        <w:t>Identify school-based supports t</w:t>
      </w:r>
      <w:r w:rsidRPr="00F36C89">
        <w:rPr>
          <w:sz w:val="32"/>
          <w:szCs w:val="32"/>
        </w:rPr>
        <w:t>hat students report needing for safe, critical, and civically useful engagement with news.</w:t>
      </w:r>
    </w:p>
    <w:p w:rsidR="00715923" w:rsidRPr="00F36C89" w:rsidRDefault="007E7FEE">
      <w:pPr>
        <w:pStyle w:val="Heading2"/>
        <w:keepNext/>
        <w:spacing w:before="260" w:after="120"/>
        <w:rPr>
          <w:sz w:val="32"/>
          <w:szCs w:val="32"/>
        </w:rPr>
      </w:pPr>
      <w:r w:rsidRPr="00F36C89">
        <w:rPr>
          <w:b/>
          <w:bCs/>
          <w:color w:val="1F7A8C"/>
          <w:sz w:val="36"/>
          <w:szCs w:val="36"/>
        </w:rPr>
        <w:t>4.3 Research questions</w:t>
      </w:r>
    </w:p>
    <w:p w:rsidR="00715923" w:rsidRPr="00F36C89" w:rsidRDefault="007E7FEE">
      <w:pPr>
        <w:pStyle w:val="ListParagraph"/>
        <w:numPr>
          <w:ilvl w:val="0"/>
          <w:numId w:val="3"/>
        </w:numPr>
        <w:spacing w:after="80"/>
        <w:jc w:val="both"/>
        <w:rPr>
          <w:sz w:val="32"/>
          <w:szCs w:val="32"/>
        </w:rPr>
      </w:pPr>
      <w:r w:rsidRPr="00F36C89">
        <w:rPr>
          <w:b/>
          <w:bCs/>
          <w:sz w:val="32"/>
          <w:szCs w:val="32"/>
        </w:rPr>
        <w:t>RQ1.</w:t>
      </w:r>
      <w:r w:rsidRPr="00F36C89">
        <w:rPr>
          <w:sz w:val="32"/>
          <w:szCs w:val="32"/>
        </w:rPr>
        <w:t xml:space="preserve"> What are the levels and patterns of news exposure, platform repertoire, frequency and purposes of news use, and prior media-literacy inst</w:t>
      </w:r>
      <w:r w:rsidRPr="00F36C89">
        <w:rPr>
          <w:sz w:val="32"/>
          <w:szCs w:val="32"/>
        </w:rPr>
        <w:t>ruction in the participating Classes IX–X sample?</w:t>
      </w:r>
    </w:p>
    <w:p w:rsidR="00715923" w:rsidRPr="00F36C89" w:rsidRDefault="007E7FEE">
      <w:pPr>
        <w:pStyle w:val="ListParagraph"/>
        <w:numPr>
          <w:ilvl w:val="0"/>
          <w:numId w:val="3"/>
        </w:numPr>
        <w:spacing w:after="80"/>
        <w:jc w:val="both"/>
        <w:rPr>
          <w:sz w:val="32"/>
          <w:szCs w:val="32"/>
        </w:rPr>
      </w:pPr>
      <w:r w:rsidRPr="00F36C89">
        <w:rPr>
          <w:b/>
          <w:bCs/>
          <w:sz w:val="32"/>
          <w:szCs w:val="32"/>
        </w:rPr>
        <w:lastRenderedPageBreak/>
        <w:t>RQ2.</w:t>
      </w:r>
      <w:r w:rsidRPr="00F36C89">
        <w:rPr>
          <w:sz w:val="32"/>
          <w:szCs w:val="32"/>
        </w:rPr>
        <w:t xml:space="preserve"> What are the distributions of algorithmic and personalisation awareness, applied platform competence, source evaluation and verification, misinformation susceptibility, risk and ethical awareness, resp</w:t>
      </w:r>
      <w:r w:rsidRPr="00F36C89">
        <w:rPr>
          <w:sz w:val="32"/>
          <w:szCs w:val="32"/>
        </w:rPr>
        <w:t>onsible sharing behaviour, and trust calibration?</w:t>
      </w:r>
    </w:p>
    <w:p w:rsidR="00715923" w:rsidRPr="00F36C89" w:rsidRDefault="007E7FEE">
      <w:pPr>
        <w:pStyle w:val="ListParagraph"/>
        <w:numPr>
          <w:ilvl w:val="0"/>
          <w:numId w:val="3"/>
        </w:numPr>
        <w:spacing w:after="80"/>
        <w:jc w:val="both"/>
        <w:rPr>
          <w:sz w:val="32"/>
          <w:szCs w:val="32"/>
        </w:rPr>
      </w:pPr>
      <w:r w:rsidRPr="00F36C89">
        <w:rPr>
          <w:b/>
          <w:bCs/>
          <w:sz w:val="32"/>
          <w:szCs w:val="32"/>
        </w:rPr>
        <w:t>RQ3.</w:t>
      </w:r>
      <w:r w:rsidRPr="00F36C89">
        <w:rPr>
          <w:sz w:val="32"/>
          <w:szCs w:val="32"/>
        </w:rPr>
        <w:t xml:space="preserve"> How are frequency of news use, applied competence, personalisation awareness, and source-evaluation performance related?</w:t>
      </w:r>
    </w:p>
    <w:p w:rsidR="00715923" w:rsidRPr="00F36C89" w:rsidRDefault="007E7FEE">
      <w:pPr>
        <w:pStyle w:val="ListParagraph"/>
        <w:numPr>
          <w:ilvl w:val="0"/>
          <w:numId w:val="3"/>
        </w:numPr>
        <w:spacing w:after="80"/>
        <w:jc w:val="both"/>
        <w:rPr>
          <w:sz w:val="32"/>
          <w:szCs w:val="32"/>
        </w:rPr>
      </w:pPr>
      <w:r w:rsidRPr="00F36C89">
        <w:rPr>
          <w:b/>
          <w:bCs/>
          <w:sz w:val="32"/>
          <w:szCs w:val="32"/>
        </w:rPr>
        <w:t>RQ4.</w:t>
      </w:r>
      <w:r w:rsidRPr="00F36C89">
        <w:rPr>
          <w:sz w:val="32"/>
          <w:szCs w:val="32"/>
        </w:rPr>
        <w:t xml:space="preserve"> How are source-evaluation performance, trust calibration, and self-rated co</w:t>
      </w:r>
      <w:r w:rsidRPr="00F36C89">
        <w:rPr>
          <w:sz w:val="32"/>
          <w:szCs w:val="32"/>
        </w:rPr>
        <w:t>nfidence related to misinformation discernment and to directional response bias?</w:t>
      </w:r>
    </w:p>
    <w:p w:rsidR="00715923" w:rsidRPr="00F36C89" w:rsidRDefault="007E7FEE">
      <w:pPr>
        <w:pStyle w:val="ListParagraph"/>
        <w:numPr>
          <w:ilvl w:val="0"/>
          <w:numId w:val="3"/>
        </w:numPr>
        <w:spacing w:after="80"/>
        <w:jc w:val="both"/>
        <w:rPr>
          <w:sz w:val="32"/>
          <w:szCs w:val="32"/>
        </w:rPr>
      </w:pPr>
      <w:r w:rsidRPr="00F36C89">
        <w:rPr>
          <w:b/>
          <w:bCs/>
          <w:sz w:val="32"/>
          <w:szCs w:val="32"/>
        </w:rPr>
        <w:t>RQ5.</w:t>
      </w:r>
      <w:r w:rsidRPr="00F36C89">
        <w:rPr>
          <w:sz w:val="32"/>
          <w:szCs w:val="32"/>
        </w:rPr>
        <w:t xml:space="preserve"> How are risk and ethical awareness, trust calibration, and responsible sharing behaviour related?</w:t>
      </w:r>
    </w:p>
    <w:p w:rsidR="00715923" w:rsidRPr="00F36C89" w:rsidRDefault="007E7FEE">
      <w:pPr>
        <w:pStyle w:val="ListParagraph"/>
        <w:numPr>
          <w:ilvl w:val="0"/>
          <w:numId w:val="3"/>
        </w:numPr>
        <w:spacing w:after="80"/>
        <w:jc w:val="both"/>
        <w:rPr>
          <w:sz w:val="32"/>
          <w:szCs w:val="32"/>
        </w:rPr>
      </w:pPr>
      <w:r w:rsidRPr="00F36C89">
        <w:rPr>
          <w:b/>
          <w:bCs/>
          <w:sz w:val="32"/>
          <w:szCs w:val="32"/>
        </w:rPr>
        <w:t>RQ6.</w:t>
      </w:r>
      <w:r w:rsidRPr="00F36C89">
        <w:rPr>
          <w:sz w:val="32"/>
          <w:szCs w:val="32"/>
        </w:rPr>
        <w:t xml:space="preserve"> Do literacy dimensions differ by class, school type, location, lang</w:t>
      </w:r>
      <w:r w:rsidRPr="00F36C89">
        <w:rPr>
          <w:sz w:val="32"/>
          <w:szCs w:val="32"/>
        </w:rPr>
        <w:t>uage, device access, platform repertoire, or prior media-literacy instruction?</w:t>
      </w:r>
    </w:p>
    <w:p w:rsidR="00715923" w:rsidRPr="00F36C89" w:rsidRDefault="007E7FEE">
      <w:pPr>
        <w:pStyle w:val="ListParagraph"/>
        <w:numPr>
          <w:ilvl w:val="0"/>
          <w:numId w:val="3"/>
        </w:numPr>
        <w:spacing w:after="80"/>
        <w:jc w:val="both"/>
        <w:rPr>
          <w:sz w:val="32"/>
          <w:szCs w:val="32"/>
        </w:rPr>
      </w:pPr>
      <w:r w:rsidRPr="00F36C89">
        <w:rPr>
          <w:b/>
          <w:bCs/>
          <w:sz w:val="32"/>
          <w:szCs w:val="32"/>
        </w:rPr>
        <w:t>RQ7.</w:t>
      </w:r>
      <w:r w:rsidRPr="00F36C89">
        <w:rPr>
          <w:sz w:val="32"/>
          <w:szCs w:val="32"/>
        </w:rPr>
        <w:t xml:space="preserve"> Which contextual and literacy variables independently predict source-evaluation performance and responsible sharing behaviour after prespecified covariates and school clustering are considered?</w:t>
      </w:r>
    </w:p>
    <w:p w:rsidR="00715923" w:rsidRPr="00F36C89" w:rsidRDefault="007E7FEE">
      <w:pPr>
        <w:pStyle w:val="ListParagraph"/>
        <w:numPr>
          <w:ilvl w:val="0"/>
          <w:numId w:val="3"/>
        </w:numPr>
        <w:spacing w:after="80"/>
        <w:jc w:val="both"/>
        <w:rPr>
          <w:sz w:val="32"/>
          <w:szCs w:val="32"/>
        </w:rPr>
      </w:pPr>
      <w:r w:rsidRPr="00F36C89">
        <w:rPr>
          <w:b/>
          <w:bCs/>
          <w:sz w:val="32"/>
          <w:szCs w:val="32"/>
        </w:rPr>
        <w:t>RQ8.</w:t>
      </w:r>
      <w:r w:rsidRPr="00F36C89">
        <w:rPr>
          <w:sz w:val="32"/>
          <w:szCs w:val="32"/>
        </w:rPr>
        <w:t xml:space="preserve"> What benefits, concerns, and desired forms of school sup</w:t>
      </w:r>
      <w:r w:rsidRPr="00F36C89">
        <w:rPr>
          <w:sz w:val="32"/>
          <w:szCs w:val="32"/>
        </w:rPr>
        <w:t>port do students describe in optional open-ended responses?</w:t>
      </w:r>
    </w:p>
    <w:p w:rsidR="00715923" w:rsidRPr="00F36C89" w:rsidRDefault="007E7FEE">
      <w:pPr>
        <w:pStyle w:val="Heading2"/>
        <w:keepNext/>
        <w:spacing w:before="260" w:after="120"/>
        <w:rPr>
          <w:sz w:val="32"/>
          <w:szCs w:val="32"/>
        </w:rPr>
      </w:pPr>
      <w:r w:rsidRPr="00F36C89">
        <w:rPr>
          <w:b/>
          <w:bCs/>
          <w:color w:val="1F7A8C"/>
          <w:sz w:val="36"/>
          <w:szCs w:val="36"/>
        </w:rPr>
        <w:t>4.4 Hypotheses</w:t>
      </w:r>
    </w:p>
    <w:p w:rsidR="00715923" w:rsidRPr="00F36C89" w:rsidRDefault="007E7FEE">
      <w:pPr>
        <w:pStyle w:val="ListParagraph"/>
        <w:numPr>
          <w:ilvl w:val="0"/>
          <w:numId w:val="3"/>
        </w:numPr>
        <w:spacing w:after="80"/>
        <w:jc w:val="both"/>
        <w:rPr>
          <w:sz w:val="32"/>
          <w:szCs w:val="32"/>
        </w:rPr>
      </w:pPr>
      <w:r w:rsidRPr="00F36C89">
        <w:rPr>
          <w:b/>
          <w:bCs/>
          <w:sz w:val="32"/>
          <w:szCs w:val="32"/>
        </w:rPr>
        <w:t>H1.</w:t>
      </w:r>
      <w:r w:rsidRPr="00F36C89">
        <w:rPr>
          <w:sz w:val="32"/>
          <w:szCs w:val="32"/>
        </w:rPr>
        <w:t xml:space="preserve"> Higher algorithmic and personalisation awareness will be positively associated with stronger source-evaluation and verification performance.</w:t>
      </w:r>
    </w:p>
    <w:p w:rsidR="00715923" w:rsidRPr="00F36C89" w:rsidRDefault="007E7FEE">
      <w:pPr>
        <w:pStyle w:val="ListParagraph"/>
        <w:numPr>
          <w:ilvl w:val="0"/>
          <w:numId w:val="3"/>
        </w:numPr>
        <w:spacing w:after="80"/>
        <w:jc w:val="both"/>
        <w:rPr>
          <w:sz w:val="32"/>
          <w:szCs w:val="32"/>
        </w:rPr>
      </w:pPr>
      <w:r w:rsidRPr="00F36C89">
        <w:rPr>
          <w:b/>
          <w:bCs/>
          <w:sz w:val="32"/>
          <w:szCs w:val="32"/>
        </w:rPr>
        <w:t>H2.</w:t>
      </w:r>
      <w:r w:rsidRPr="00F36C89">
        <w:rPr>
          <w:sz w:val="32"/>
          <w:szCs w:val="32"/>
        </w:rPr>
        <w:t xml:space="preserve"> Stronger source-evaluation and v</w:t>
      </w:r>
      <w:r w:rsidRPr="00F36C89">
        <w:rPr>
          <w:sz w:val="32"/>
          <w:szCs w:val="32"/>
        </w:rPr>
        <w:t>erification performance will be positively associated with misinformation discernment, measured as accuracy across balanced true and false headlines rather than as rejection of false headlines alone.</w:t>
      </w:r>
    </w:p>
    <w:p w:rsidR="00715923" w:rsidRPr="00F36C89" w:rsidRDefault="007E7FEE">
      <w:pPr>
        <w:pStyle w:val="ListParagraph"/>
        <w:numPr>
          <w:ilvl w:val="0"/>
          <w:numId w:val="3"/>
        </w:numPr>
        <w:spacing w:after="80"/>
        <w:jc w:val="both"/>
        <w:rPr>
          <w:sz w:val="32"/>
          <w:szCs w:val="32"/>
        </w:rPr>
      </w:pPr>
      <w:r w:rsidRPr="00F36C89">
        <w:rPr>
          <w:b/>
          <w:bCs/>
          <w:sz w:val="32"/>
          <w:szCs w:val="32"/>
        </w:rPr>
        <w:t>H3.</w:t>
      </w:r>
      <w:r w:rsidRPr="00F36C89">
        <w:rPr>
          <w:sz w:val="32"/>
          <w:szCs w:val="32"/>
        </w:rPr>
        <w:t xml:space="preserve"> Higher risk and ethical awareness will be positively</w:t>
      </w:r>
      <w:r w:rsidRPr="00F36C89">
        <w:rPr>
          <w:sz w:val="32"/>
          <w:szCs w:val="32"/>
        </w:rPr>
        <w:t xml:space="preserve"> associated with more responsible sharing behaviour.</w:t>
      </w:r>
    </w:p>
    <w:p w:rsidR="00715923" w:rsidRPr="00F36C89" w:rsidRDefault="007E7FEE">
      <w:pPr>
        <w:pStyle w:val="ListParagraph"/>
        <w:numPr>
          <w:ilvl w:val="0"/>
          <w:numId w:val="3"/>
        </w:numPr>
        <w:spacing w:after="80"/>
        <w:jc w:val="both"/>
        <w:rPr>
          <w:sz w:val="32"/>
          <w:szCs w:val="32"/>
        </w:rPr>
      </w:pPr>
      <w:r w:rsidRPr="00F36C89">
        <w:rPr>
          <w:b/>
          <w:bCs/>
          <w:sz w:val="32"/>
          <w:szCs w:val="32"/>
        </w:rPr>
        <w:t>H4.</w:t>
      </w:r>
      <w:r w:rsidRPr="00F36C89">
        <w:rPr>
          <w:sz w:val="32"/>
          <w:szCs w:val="32"/>
        </w:rPr>
        <w:t xml:space="preserve"> Students reporting prior formal media-literacy or news-literacy instruction will show higher personalisation awareness and source-</w:t>
      </w:r>
      <w:r w:rsidRPr="00F36C89">
        <w:rPr>
          <w:sz w:val="32"/>
          <w:szCs w:val="32"/>
        </w:rPr>
        <w:lastRenderedPageBreak/>
        <w:t>evaluation performance than students reporting none, after adjustment</w:t>
      </w:r>
      <w:r w:rsidRPr="00F36C89">
        <w:rPr>
          <w:sz w:val="32"/>
          <w:szCs w:val="32"/>
        </w:rPr>
        <w:t xml:space="preserve"> for grade, access, and school context.</w:t>
      </w:r>
    </w:p>
    <w:p w:rsidR="00715923" w:rsidRPr="00F36C89" w:rsidRDefault="007E7FEE">
      <w:pPr>
        <w:pStyle w:val="ListParagraph"/>
        <w:numPr>
          <w:ilvl w:val="0"/>
          <w:numId w:val="3"/>
        </w:numPr>
        <w:spacing w:after="80"/>
        <w:jc w:val="both"/>
        <w:rPr>
          <w:sz w:val="32"/>
          <w:szCs w:val="32"/>
        </w:rPr>
      </w:pPr>
      <w:r w:rsidRPr="00F36C89">
        <w:rPr>
          <w:b/>
          <w:bCs/>
          <w:sz w:val="32"/>
          <w:szCs w:val="32"/>
        </w:rPr>
        <w:t>H5.</w:t>
      </w:r>
      <w:r w:rsidRPr="00F36C89">
        <w:rPr>
          <w:sz w:val="32"/>
          <w:szCs w:val="32"/>
        </w:rPr>
        <w:t xml:space="preserve"> Greater frequency of platform-based news use will be positively associated with applied platform competence; its association with source-evaluation performance will be tested without prespecifying a positive dire</w:t>
      </w:r>
      <w:r w:rsidRPr="00F36C89">
        <w:rPr>
          <w:sz w:val="32"/>
          <w:szCs w:val="32"/>
        </w:rPr>
        <w:t>ction.</w:t>
      </w:r>
    </w:p>
    <w:p w:rsidR="00715923" w:rsidRPr="00F36C89" w:rsidRDefault="007E7FEE">
      <w:pPr>
        <w:pStyle w:val="ListParagraph"/>
        <w:numPr>
          <w:ilvl w:val="0"/>
          <w:numId w:val="3"/>
        </w:numPr>
        <w:spacing w:after="80"/>
        <w:jc w:val="both"/>
        <w:rPr>
          <w:sz w:val="32"/>
          <w:szCs w:val="32"/>
        </w:rPr>
      </w:pPr>
      <w:r w:rsidRPr="00F36C89">
        <w:rPr>
          <w:b/>
          <w:bCs/>
          <w:sz w:val="32"/>
          <w:szCs w:val="32"/>
        </w:rPr>
        <w:t>H6.</w:t>
      </w:r>
      <w:r w:rsidRPr="00F36C89">
        <w:rPr>
          <w:sz w:val="32"/>
          <w:szCs w:val="32"/>
        </w:rPr>
        <w:t xml:space="preserve"> The gap between self-rated judgement ability and measured discernment will be negatively associated with verification frequency, so that students whose confidence exceeds their measured accuracy will report checking less often.</w:t>
      </w:r>
    </w:p>
    <w:p w:rsidR="00715923" w:rsidRPr="00F36C89" w:rsidRDefault="007E7FEE">
      <w:pPr>
        <w:pStyle w:val="ListParagraph"/>
        <w:numPr>
          <w:ilvl w:val="0"/>
          <w:numId w:val="3"/>
        </w:numPr>
        <w:spacing w:after="80"/>
        <w:jc w:val="both"/>
        <w:rPr>
          <w:sz w:val="32"/>
          <w:szCs w:val="32"/>
        </w:rPr>
      </w:pPr>
      <w:r w:rsidRPr="00F36C89">
        <w:rPr>
          <w:b/>
          <w:bCs/>
          <w:sz w:val="32"/>
          <w:szCs w:val="32"/>
        </w:rPr>
        <w:t>H7.</w:t>
      </w:r>
      <w:r w:rsidRPr="00F36C89">
        <w:rPr>
          <w:sz w:val="32"/>
          <w:szCs w:val="32"/>
        </w:rPr>
        <w:t xml:space="preserve"> Source-evaluation performance will mediate part of the association between personalisation awareness and responsible sharing behaviour, if sample size, temporal caution, and model fit permit an exploratory indirect-effect analysis.</w:t>
      </w:r>
    </w:p>
    <w:p w:rsidR="00715923" w:rsidRPr="00F36C89" w:rsidRDefault="007E7FEE">
      <w:pPr>
        <w:spacing w:after="140"/>
        <w:jc w:val="both"/>
        <w:rPr>
          <w:sz w:val="32"/>
          <w:szCs w:val="32"/>
        </w:rPr>
      </w:pPr>
      <w:r w:rsidRPr="00F36C89">
        <w:rPr>
          <w:sz w:val="32"/>
          <w:szCs w:val="32"/>
        </w:rPr>
        <w:t>Trust calibration is tr</w:t>
      </w:r>
      <w:r w:rsidRPr="00F36C89">
        <w:rPr>
          <w:sz w:val="32"/>
          <w:szCs w:val="32"/>
        </w:rPr>
        <w:t xml:space="preserve">eated as an exploratory moderator because a simple linear hypothesis would be misleading. Both indiscriminate trust and indiscriminate distrust may reflect poor calibration, and the headline task is scored so that a uniformly sceptical response pattern is </w:t>
      </w:r>
      <w:r w:rsidRPr="00F36C89">
        <w:rPr>
          <w:sz w:val="32"/>
          <w:szCs w:val="32"/>
        </w:rPr>
        <w:t>visible as bias rather than rewarded as skill. The primary analysis will therefore examine task-sensitive trust patterns and, if justified, quadratic or category-based relationships specified before the analysis is run.</w:t>
      </w:r>
    </w:p>
    <w:p w:rsidR="00715923" w:rsidRPr="00F36C89" w:rsidRDefault="007E7FEE">
      <w:pPr>
        <w:pStyle w:val="Heading1"/>
        <w:keepNext/>
        <w:pageBreakBefore/>
        <w:spacing w:before="320" w:after="160"/>
        <w:rPr>
          <w:sz w:val="32"/>
          <w:szCs w:val="32"/>
        </w:rPr>
      </w:pPr>
      <w:r w:rsidRPr="00F36C89">
        <w:rPr>
          <w:b/>
          <w:bCs/>
          <w:color w:val="1F3864"/>
          <w:sz w:val="40"/>
          <w:szCs w:val="40"/>
        </w:rPr>
        <w:lastRenderedPageBreak/>
        <w:t>5. Methodology</w:t>
      </w:r>
    </w:p>
    <w:p w:rsidR="00715923" w:rsidRPr="00F36C89" w:rsidRDefault="007E7FEE">
      <w:pPr>
        <w:pStyle w:val="Heading2"/>
        <w:keepNext/>
        <w:spacing w:before="260" w:after="120"/>
        <w:rPr>
          <w:sz w:val="32"/>
          <w:szCs w:val="32"/>
        </w:rPr>
      </w:pPr>
      <w:r w:rsidRPr="00F36C89">
        <w:rPr>
          <w:b/>
          <w:bCs/>
          <w:color w:val="1F7A8C"/>
          <w:sz w:val="36"/>
          <w:szCs w:val="36"/>
        </w:rPr>
        <w:t>5.1 Design and report</w:t>
      </w:r>
      <w:r w:rsidRPr="00F36C89">
        <w:rPr>
          <w:b/>
          <w:bCs/>
          <w:color w:val="1F7A8C"/>
          <w:sz w:val="36"/>
          <w:szCs w:val="36"/>
        </w:rPr>
        <w:t>ing status</w:t>
      </w:r>
    </w:p>
    <w:p w:rsidR="00715923" w:rsidRPr="00F36C89" w:rsidRDefault="007E7FEE">
      <w:pPr>
        <w:spacing w:after="140"/>
        <w:jc w:val="both"/>
        <w:rPr>
          <w:sz w:val="32"/>
          <w:szCs w:val="32"/>
        </w:rPr>
      </w:pPr>
      <w:r w:rsidRPr="00F36C89">
        <w:rPr>
          <w:sz w:val="32"/>
          <w:szCs w:val="32"/>
        </w:rPr>
        <w:t>The study is designed as a cross-sectional, multi-site, school-based survey with quantitative and optional qualitative components. It is a protocol at the time of writing. No school has been described as recruited, no participant has been counte</w:t>
      </w:r>
      <w:r w:rsidRPr="00F36C89">
        <w:rPr>
          <w:sz w:val="32"/>
          <w:szCs w:val="32"/>
        </w:rPr>
        <w:t>d, and no response has been analysed. The cross-sectional design is appropriate for estimating distributions and associations within a bounded sample, but it cannot establish temporal order or causality. Future reporting should follow relevant observationa</w:t>
      </w:r>
      <w:r w:rsidRPr="00F36C89">
        <w:rPr>
          <w:sz w:val="32"/>
          <w:szCs w:val="32"/>
        </w:rPr>
        <w:t>l-study and survey-reporting guidance [68,69] and should distinguish prespecified from exploratory analyses throughout.</w:t>
      </w:r>
    </w:p>
    <w:p w:rsidR="00715923" w:rsidRPr="00F36C89" w:rsidRDefault="007E7FEE">
      <w:pPr>
        <w:spacing w:after="140"/>
        <w:jc w:val="both"/>
        <w:rPr>
          <w:sz w:val="32"/>
          <w:szCs w:val="32"/>
        </w:rPr>
      </w:pPr>
      <w:r w:rsidRPr="00F36C89">
        <w:rPr>
          <w:sz w:val="32"/>
          <w:szCs w:val="32"/>
        </w:rPr>
        <w:t>The intended unit of observation is the individual student, with students nested within schools. The design is not nationally representa</w:t>
      </w:r>
      <w:r w:rsidRPr="00F36C89">
        <w:rPr>
          <w:sz w:val="32"/>
          <w:szCs w:val="32"/>
        </w:rPr>
        <w:t>tive. Its value depends on transparent documentation of the recruitment frame, participation rates, school characteristics, and missingness. Any eventual article must name the states or territories and the number and type of participating schools only afte</w:t>
      </w:r>
      <w:r w:rsidRPr="00F36C89">
        <w:rPr>
          <w:sz w:val="32"/>
          <w:szCs w:val="32"/>
        </w:rPr>
        <w:t>r permission and disclosure-risk review.</w:t>
      </w:r>
    </w:p>
    <w:p w:rsidR="00715923" w:rsidRPr="00F36C89" w:rsidRDefault="007E7FEE">
      <w:pPr>
        <w:pStyle w:val="Heading2"/>
        <w:keepNext/>
        <w:spacing w:before="260" w:after="120"/>
        <w:rPr>
          <w:sz w:val="32"/>
          <w:szCs w:val="32"/>
        </w:rPr>
      </w:pPr>
      <w:r w:rsidRPr="00F36C89">
        <w:rPr>
          <w:b/>
          <w:bCs/>
          <w:color w:val="1F7A8C"/>
          <w:sz w:val="36"/>
          <w:szCs w:val="36"/>
        </w:rPr>
        <w:t>5.2 Setting and target population</w:t>
      </w:r>
    </w:p>
    <w:p w:rsidR="00715923" w:rsidRPr="00F36C89" w:rsidRDefault="007E7FEE">
      <w:pPr>
        <w:spacing w:after="140"/>
        <w:jc w:val="both"/>
        <w:rPr>
          <w:sz w:val="32"/>
          <w:szCs w:val="32"/>
        </w:rPr>
      </w:pPr>
      <w:r w:rsidRPr="00F36C89">
        <w:rPr>
          <w:sz w:val="32"/>
          <w:szCs w:val="32"/>
        </w:rPr>
        <w:t xml:space="preserve">The target population is students enrolled in Classes IX and X in participating Indian secondary schools. These grades are selected because students are old enough to hold personal </w:t>
      </w:r>
      <w:r w:rsidRPr="00F36C89">
        <w:rPr>
          <w:sz w:val="32"/>
          <w:szCs w:val="32"/>
        </w:rPr>
        <w:t>or shared devices, to participate in messaging groups, and to encounter civic and political information independently, while still being within compulsory school structures where adult permission and safeguarding are central. Eligible schools may include g</w:t>
      </w:r>
      <w:r w:rsidRPr="00F36C89">
        <w:rPr>
          <w:sz w:val="32"/>
          <w:szCs w:val="32"/>
        </w:rPr>
        <w:t>overnment, government-aided, and private unaided institutions and, where feasible, urban, semi-urban, and rural settings. The feasible sampling frame will depend on schools that provide institutional permission and a supervised route to students.</w:t>
      </w:r>
    </w:p>
    <w:p w:rsidR="00715923" w:rsidRPr="00F36C89" w:rsidRDefault="007E7FEE">
      <w:pPr>
        <w:spacing w:after="140"/>
        <w:jc w:val="both"/>
        <w:rPr>
          <w:sz w:val="32"/>
          <w:szCs w:val="32"/>
        </w:rPr>
      </w:pPr>
      <w:r w:rsidRPr="00F36C89">
        <w:rPr>
          <w:sz w:val="32"/>
          <w:szCs w:val="32"/>
        </w:rPr>
        <w:t xml:space="preserve">Students </w:t>
      </w:r>
      <w:r w:rsidRPr="00F36C89">
        <w:rPr>
          <w:sz w:val="32"/>
          <w:szCs w:val="32"/>
        </w:rPr>
        <w:t>do not need to follow news regularly to participate. Low engagement is substantively important because it may reflect lack of access, restriction, disinterest, avoidance, or deliberate choice, and news avoidance is itself a documented feature of contempora</w:t>
      </w:r>
      <w:r w:rsidRPr="00F36C89">
        <w:rPr>
          <w:sz w:val="32"/>
          <w:szCs w:val="32"/>
        </w:rPr>
        <w:t xml:space="preserve">ry </w:t>
      </w:r>
      <w:r w:rsidRPr="00F36C89">
        <w:rPr>
          <w:sz w:val="32"/>
          <w:szCs w:val="32"/>
        </w:rPr>
        <w:lastRenderedPageBreak/>
        <w:t>audiences. The questionnaire uses a short, brand-neutral definition with examples and avoids requiring familiarity with any specific commercial platform. Students who report little or no news use bypass detailed exposure items and complete knowledge, sc</w:t>
      </w:r>
      <w:r w:rsidRPr="00F36C89">
        <w:rPr>
          <w:sz w:val="32"/>
          <w:szCs w:val="32"/>
        </w:rPr>
        <w:t>enario, headline-judgement, risk, and intention items that do not require extensive personal experience.</w:t>
      </w:r>
    </w:p>
    <w:p w:rsidR="00715923" w:rsidRPr="00F36C89" w:rsidRDefault="007E7FEE">
      <w:pPr>
        <w:pStyle w:val="Heading2"/>
        <w:keepNext/>
        <w:spacing w:before="260" w:after="120"/>
        <w:rPr>
          <w:sz w:val="32"/>
          <w:szCs w:val="32"/>
        </w:rPr>
      </w:pPr>
      <w:r w:rsidRPr="00F36C89">
        <w:rPr>
          <w:b/>
          <w:bCs/>
          <w:color w:val="1F7A8C"/>
          <w:sz w:val="36"/>
          <w:szCs w:val="36"/>
        </w:rPr>
        <w:t>5.3 Sampling and sample size</w:t>
      </w:r>
    </w:p>
    <w:p w:rsidR="00715923" w:rsidRPr="00F36C89" w:rsidRDefault="007E7FEE">
      <w:pPr>
        <w:spacing w:after="140"/>
        <w:jc w:val="both"/>
        <w:rPr>
          <w:sz w:val="32"/>
          <w:szCs w:val="32"/>
        </w:rPr>
      </w:pPr>
      <w:r w:rsidRPr="00F36C89">
        <w:rPr>
          <w:sz w:val="32"/>
          <w:szCs w:val="32"/>
        </w:rPr>
        <w:t>A stratified purposive cluster-sampling approach is realistic for an independent student researcher. The researcher should</w:t>
      </w:r>
      <w:r w:rsidRPr="00F36C89">
        <w:rPr>
          <w:sz w:val="32"/>
          <w:szCs w:val="32"/>
        </w:rPr>
        <w:t xml:space="preserve"> first seek adult-supervised contact with approximately eight to twelve schools that vary, where feasible, by management type and location. Within participating schools, intact Classes IX and X sections may be invited rather than asking teachers to select </w:t>
      </w:r>
      <w:r w:rsidRPr="00F36C89">
        <w:rPr>
          <w:sz w:val="32"/>
          <w:szCs w:val="32"/>
        </w:rPr>
        <w:t>individual students. Inviting whole eligible sections reduces discretionary selection but does not eliminate school-level self-selection. The resulting sample must be described as a participating-school sample, not as a sample of all Indian secondary-schoo</w:t>
      </w:r>
      <w:r w:rsidRPr="00F36C89">
        <w:rPr>
          <w:sz w:val="32"/>
          <w:szCs w:val="32"/>
        </w:rPr>
        <w:t>l students.</w:t>
      </w:r>
    </w:p>
    <w:p w:rsidR="00715923" w:rsidRPr="00F36C89" w:rsidRDefault="007E7FEE">
      <w:pPr>
        <w:spacing w:after="140"/>
        <w:jc w:val="both"/>
        <w:rPr>
          <w:sz w:val="32"/>
          <w:szCs w:val="32"/>
        </w:rPr>
      </w:pPr>
      <w:r w:rsidRPr="00F36C89">
        <w:rPr>
          <w:sz w:val="32"/>
          <w:szCs w:val="32"/>
        </w:rPr>
        <w:t>A provisional target of approximately six hundred completed surveys is proposed, aiming for reasonable balance by class and diversity across schools. This is not a claimed enrolment figure. Before fieldwork, a formal power analysis should be do</w:t>
      </w:r>
      <w:r w:rsidRPr="00F36C89">
        <w:rPr>
          <w:sz w:val="32"/>
          <w:szCs w:val="32"/>
        </w:rPr>
        <w:t xml:space="preserve">cumented using the smallest effect of practical interest and the planned primary model [70]. For orientation, detecting a small correlation of about |r| = .15 with two-sided alpha .05 and 80% power requires roughly 347 independent observations; the design </w:t>
      </w:r>
      <w:r w:rsidRPr="00F36C89">
        <w:rPr>
          <w:sz w:val="32"/>
          <w:szCs w:val="32"/>
        </w:rPr>
        <w:t>effect introduced by school clustering, together with nonresponse, incomplete surveys, and planned subgroup analyses, justifies substantial inflation above that figure. If fewer schools participate or the achieved sample is materially smaller, the analysis</w:t>
      </w:r>
      <w:r w:rsidRPr="00F36C89">
        <w:rPr>
          <w:sz w:val="32"/>
          <w:szCs w:val="32"/>
        </w:rPr>
        <w:t xml:space="preserve"> should be simplified and uncertainty emphasised rather than compensated for with stronger claims.</w:t>
      </w:r>
    </w:p>
    <w:p w:rsidR="00715923" w:rsidRPr="00F36C89" w:rsidRDefault="007E7FEE">
      <w:pPr>
        <w:spacing w:after="140"/>
        <w:jc w:val="both"/>
        <w:rPr>
          <w:sz w:val="32"/>
          <w:szCs w:val="32"/>
        </w:rPr>
      </w:pPr>
      <w:r w:rsidRPr="00F36C89">
        <w:rPr>
          <w:sz w:val="32"/>
          <w:szCs w:val="32"/>
        </w:rPr>
        <w:t>Inclusion criteria are enrolment in Class IX or X at a participating school, comprehension of an approved survey language, required guardian permission, stud</w:t>
      </w:r>
      <w:r w:rsidRPr="00F36C89">
        <w:rPr>
          <w:sz w:val="32"/>
          <w:szCs w:val="32"/>
        </w:rPr>
        <w:t xml:space="preserve">ent assent, and voluntary participation. Prespecified exclusion criteria are absent required consent or assent, duplicate records identified without retaining direct identifiers, surveys missing most substantive items, impossible completion patterns based </w:t>
      </w:r>
      <w:r w:rsidRPr="00F36C89">
        <w:rPr>
          <w:sz w:val="32"/>
          <w:szCs w:val="32"/>
        </w:rPr>
        <w:lastRenderedPageBreak/>
        <w:t>on pilot-derived timing, and failure of a plainly worded attention check. Exclusions must be reported with counts and reasons; they must not be chosen after viewing group differences.</w:t>
      </w:r>
    </w:p>
    <w:p w:rsidR="00715923" w:rsidRPr="00F36C89" w:rsidRDefault="007E7FEE">
      <w:pPr>
        <w:pStyle w:val="Heading2"/>
        <w:keepNext/>
        <w:spacing w:before="260" w:after="120"/>
        <w:rPr>
          <w:sz w:val="32"/>
          <w:szCs w:val="32"/>
        </w:rPr>
      </w:pPr>
      <w:r w:rsidRPr="00F36C89">
        <w:rPr>
          <w:b/>
          <w:bCs/>
          <w:color w:val="1F7A8C"/>
          <w:sz w:val="36"/>
          <w:szCs w:val="36"/>
        </w:rPr>
        <w:t>5.4 Instrument development</w:t>
      </w:r>
    </w:p>
    <w:p w:rsidR="00715923" w:rsidRPr="00F36C89" w:rsidRDefault="007E7FEE">
      <w:pPr>
        <w:spacing w:after="140"/>
        <w:jc w:val="both"/>
        <w:rPr>
          <w:sz w:val="32"/>
          <w:szCs w:val="32"/>
        </w:rPr>
      </w:pPr>
      <w:r w:rsidRPr="00F36C89">
        <w:rPr>
          <w:sz w:val="32"/>
          <w:szCs w:val="32"/>
        </w:rPr>
        <w:t>The questionnaire in Appendix A is an origina</w:t>
      </w:r>
      <w:r w:rsidRPr="00F36C89">
        <w:rPr>
          <w:sz w:val="32"/>
          <w:szCs w:val="32"/>
        </w:rPr>
        <w:t>l, study-specific instrument informed by published algorithm-awareness scales, civic online reasoning assessments, misinformation-susceptibility measurement, news literacy research, UNESCO media and information literacy guidance, child-centred risk princip</w:t>
      </w:r>
      <w:r w:rsidRPr="00F36C89">
        <w:rPr>
          <w:sz w:val="32"/>
          <w:szCs w:val="32"/>
        </w:rPr>
        <w:t>les, and the Indian regulatory and curricular context [23,36,37,48,56,65]. It does not reproduce proprietary scale items verbatim. Original wording allows alignment with Classes IX and X and with the study's specific constructs, but it also means that vali</w:t>
      </w:r>
      <w:r w:rsidRPr="00F36C89">
        <w:rPr>
          <w:sz w:val="32"/>
          <w:szCs w:val="32"/>
        </w:rPr>
        <w:t>dity and reliability must be established before substantive score interpretation [71,72].</w:t>
      </w:r>
    </w:p>
    <w:p w:rsidR="00715923" w:rsidRPr="00F36C89" w:rsidRDefault="007E7FEE">
      <w:pPr>
        <w:spacing w:after="140"/>
        <w:jc w:val="both"/>
        <w:rPr>
          <w:sz w:val="32"/>
          <w:szCs w:val="32"/>
        </w:rPr>
      </w:pPr>
      <w:r w:rsidRPr="00F36C89">
        <w:rPr>
          <w:sz w:val="32"/>
          <w:szCs w:val="32"/>
        </w:rPr>
        <w:t>The instrument contains eligibility and assent items; background and access questions; news exposure and use items; ten objective algorithmic and personalisation awar</w:t>
      </w:r>
      <w:r w:rsidRPr="00F36C89">
        <w:rPr>
          <w:sz w:val="32"/>
          <w:szCs w:val="32"/>
        </w:rPr>
        <w:t>eness questions; five applied-competence items; seven source-evaluation frequency items; three source-evaluation scenarios; a balanced eight-headline veracity-judgement task with an accompanying self-rated ability item; eight risk and ethical-awareness ite</w:t>
      </w:r>
      <w:r w:rsidRPr="00F36C89">
        <w:rPr>
          <w:sz w:val="32"/>
          <w:szCs w:val="32"/>
        </w:rPr>
        <w:t>ms; six responsible-sharing items; five trust-calibration items; and three optional open-ended prompts. Behaviour items use a five-point Never-to-Always scale; perceived competence and awareness items use a five-point Strongly-disagree-to-Strongly-agree sc</w:t>
      </w:r>
      <w:r w:rsidRPr="00F36C89">
        <w:rPr>
          <w:sz w:val="32"/>
          <w:szCs w:val="32"/>
        </w:rPr>
        <w:t>ale; headline items use a four-point accuracy judgement with an explicit uncertainty option. Consistent anchors reduce cognitive switching. Estimated administration time is 20–25 minutes, to be confirmed during pilot testing.</w:t>
      </w:r>
    </w:p>
    <w:p w:rsidR="00715923" w:rsidRPr="00F36C89" w:rsidRDefault="007E7FEE">
      <w:pPr>
        <w:spacing w:after="140"/>
        <w:jc w:val="both"/>
        <w:rPr>
          <w:sz w:val="32"/>
          <w:szCs w:val="32"/>
        </w:rPr>
      </w:pPr>
      <w:r w:rsidRPr="00F36C89">
        <w:rPr>
          <w:sz w:val="32"/>
          <w:szCs w:val="32"/>
        </w:rPr>
        <w:t>The headline task requires par</w:t>
      </w:r>
      <w:r w:rsidRPr="00F36C89">
        <w:rPr>
          <w:sz w:val="32"/>
          <w:szCs w:val="32"/>
        </w:rPr>
        <w:t>ticular care. Items must be balanced between true and false content, must be plausible rather than absurd, must avoid partisan targeting of any Indian political formation, and must be scored so that overall discernment is reported separately from any tende</w:t>
      </w:r>
      <w:r w:rsidRPr="00F36C89">
        <w:rPr>
          <w:sz w:val="32"/>
          <w:szCs w:val="32"/>
        </w:rPr>
        <w:t>ncy to accept or reject indiscriminately [48]. True items should be drawn from verifiable, dated reporting by established outlets and rewritten in neutral language; false items should be constructed by the research team to illustrate recognisable manipulat</w:t>
      </w:r>
      <w:r w:rsidRPr="00F36C89">
        <w:rPr>
          <w:sz w:val="32"/>
          <w:szCs w:val="32"/>
        </w:rPr>
        <w:t xml:space="preserve">ion techniques </w:t>
      </w:r>
      <w:r w:rsidRPr="00F36C89">
        <w:rPr>
          <w:sz w:val="32"/>
          <w:szCs w:val="32"/>
        </w:rPr>
        <w:lastRenderedPageBreak/>
        <w:t>rather than copied from circulating content, so that the instrument does not itself propagate specific falsehoods. Every item must be reviewed by the expert panel for accuracy, topicality, and potential distress before piloting, and the vera</w:t>
      </w:r>
      <w:r w:rsidRPr="00F36C89">
        <w:rPr>
          <w:sz w:val="32"/>
          <w:szCs w:val="32"/>
        </w:rPr>
        <w:t>city of each true item must be re-checked immediately before fieldwork.</w:t>
      </w:r>
    </w:p>
    <w:p w:rsidR="00715923" w:rsidRPr="00F36C89" w:rsidRDefault="007E7FEE">
      <w:pPr>
        <w:spacing w:after="140"/>
        <w:jc w:val="both"/>
        <w:rPr>
          <w:sz w:val="32"/>
          <w:szCs w:val="32"/>
        </w:rPr>
      </w:pPr>
      <w:r w:rsidRPr="00F36C89">
        <w:rPr>
          <w:sz w:val="32"/>
          <w:szCs w:val="32"/>
        </w:rPr>
        <w:t xml:space="preserve">Figures 2 and 3 make the instrument architecture transparent. They summarise the number and allocation of drafted questionnaire items; they do not contain participant responses, pilot </w:t>
      </w:r>
      <w:r w:rsidRPr="00F36C89">
        <w:rPr>
          <w:sz w:val="32"/>
          <w:szCs w:val="32"/>
        </w:rPr>
        <w:t>estimates, or study findings.</w:t>
      </w:r>
    </w:p>
    <w:p w:rsidR="00715923" w:rsidRPr="00F36C89" w:rsidRDefault="007E7FEE">
      <w:pPr>
        <w:keepNext/>
        <w:spacing w:before="200" w:after="80"/>
        <w:rPr>
          <w:sz w:val="32"/>
          <w:szCs w:val="32"/>
        </w:rPr>
      </w:pPr>
      <w:r w:rsidRPr="00F36C89">
        <w:rPr>
          <w:b/>
          <w:bCs/>
          <w:color w:val="1F3864"/>
          <w:sz w:val="28"/>
          <w:szCs w:val="28"/>
        </w:rPr>
        <w:t>Fig 2. Draft questionnaire item allocation by section</w:t>
      </w:r>
    </w:p>
    <w:p w:rsidR="00715923" w:rsidRPr="00F36C89" w:rsidRDefault="007E7FEE">
      <w:pPr>
        <w:spacing w:after="200"/>
        <w:jc w:val="both"/>
        <w:rPr>
          <w:sz w:val="32"/>
          <w:szCs w:val="32"/>
        </w:rPr>
      </w:pPr>
      <w:r w:rsidRPr="00F36C89">
        <w:rPr>
          <w:color w:val="595959"/>
          <w:sz w:val="24"/>
          <w:szCs w:val="24"/>
        </w:rPr>
        <w:t>Note. Counts are derived directly from Appendix A (78 drafted items across 11 sections) and supplied as a separate figure file (Fig2). This is instrument-design information</w:t>
      </w:r>
      <w:r w:rsidRPr="00F36C89">
        <w:rPr>
          <w:color w:val="595959"/>
          <w:sz w:val="24"/>
          <w:szCs w:val="24"/>
        </w:rPr>
        <w:t>, not participant data.</w:t>
      </w:r>
    </w:p>
    <w:p w:rsidR="00715923" w:rsidRPr="00F36C89" w:rsidRDefault="007E7FEE">
      <w:pPr>
        <w:keepNext/>
        <w:spacing w:before="200" w:after="80"/>
        <w:rPr>
          <w:sz w:val="32"/>
          <w:szCs w:val="32"/>
        </w:rPr>
      </w:pPr>
      <w:r w:rsidRPr="00F36C89">
        <w:rPr>
          <w:b/>
          <w:bCs/>
          <w:color w:val="1F3864"/>
          <w:sz w:val="28"/>
          <w:szCs w:val="28"/>
        </w:rPr>
        <w:t>Fig 3. Composition of core and related construct items</w:t>
      </w:r>
    </w:p>
    <w:p w:rsidR="00715923" w:rsidRPr="00F36C89" w:rsidRDefault="007E7FEE">
      <w:pPr>
        <w:spacing w:after="200"/>
        <w:jc w:val="both"/>
        <w:rPr>
          <w:sz w:val="32"/>
          <w:szCs w:val="32"/>
        </w:rPr>
      </w:pPr>
      <w:r w:rsidRPr="00F36C89">
        <w:rPr>
          <w:color w:val="595959"/>
          <w:sz w:val="24"/>
          <w:szCs w:val="24"/>
        </w:rPr>
        <w:t>Note. The chart shows the allocation of 52 drafted items across seven construct domains and is supplied as a separate figure file (Fig3). Percentages describe questionnaire comp</w:t>
      </w:r>
      <w:r w:rsidRPr="00F36C89">
        <w:rPr>
          <w:color w:val="595959"/>
          <w:sz w:val="24"/>
          <w:szCs w:val="24"/>
        </w:rPr>
        <w:t>osition only and do not represent student responses.</w:t>
      </w:r>
    </w:p>
    <w:p w:rsidR="00715923" w:rsidRPr="00F36C89" w:rsidRDefault="007E7FEE">
      <w:pPr>
        <w:spacing w:after="140"/>
        <w:jc w:val="both"/>
        <w:rPr>
          <w:sz w:val="32"/>
          <w:szCs w:val="32"/>
        </w:rPr>
      </w:pPr>
      <w:r w:rsidRPr="00F36C89">
        <w:rPr>
          <w:sz w:val="32"/>
          <w:szCs w:val="32"/>
        </w:rPr>
        <w:t>The English version should be translated into Hindi if participating schools require it, and the translation should follow an established cross-cultural adaptation process: forward translation by a fluen</w:t>
      </w:r>
      <w:r w:rsidRPr="00F36C89">
        <w:rPr>
          <w:sz w:val="32"/>
          <w:szCs w:val="32"/>
        </w:rPr>
        <w:t>t bilingual educator, review by a second bilingual reviewer, reconciliation, and back-translation of high-stakes or conceptually difficult items [73]. Cognitive interviews should test whether phrases such as 'independent source', 'original publisher', 'per</w:t>
      </w:r>
      <w:r w:rsidRPr="00F36C89">
        <w:rPr>
          <w:sz w:val="32"/>
          <w:szCs w:val="32"/>
        </w:rPr>
        <w:t>sonalised feed', 'forwarded many times', and 'school rules' are understood as intended [74]. Headline items require particular scrutiny during translation because plausibility is language- and context-dependent. Other languages should be added only when co</w:t>
      </w:r>
      <w:r w:rsidRPr="00F36C89">
        <w:rPr>
          <w:sz w:val="32"/>
          <w:szCs w:val="32"/>
        </w:rPr>
        <w:t>mpetent translation and review are available; automatic translation alone is insufficient for a research instrument.</w:t>
      </w:r>
    </w:p>
    <w:p w:rsidR="00715923" w:rsidRPr="00F36C89" w:rsidRDefault="007E7FEE">
      <w:pPr>
        <w:keepNext/>
        <w:spacing w:before="200" w:after="80"/>
        <w:rPr>
          <w:sz w:val="32"/>
          <w:szCs w:val="32"/>
        </w:rPr>
      </w:pPr>
      <w:r w:rsidRPr="00F36C89">
        <w:rPr>
          <w:b/>
          <w:bCs/>
          <w:color w:val="1F3864"/>
          <w:sz w:val="28"/>
          <w:szCs w:val="28"/>
        </w:rPr>
        <w:t>Table 2. Questionnaire blueprint</w:t>
      </w:r>
    </w:p>
    <w:tbl>
      <w:tblPr>
        <w:tblW w:w="9000" w:type="dxa"/>
        <w:tblBorders>
          <w:top w:val="single" w:sz="4" w:space="0" w:color="BFC9D6"/>
          <w:left w:val="single" w:sz="4" w:space="0" w:color="BFC9D6"/>
          <w:bottom w:val="single" w:sz="4" w:space="0" w:color="BFC9D6"/>
          <w:right w:val="single" w:sz="4" w:space="0" w:color="BFC9D6"/>
          <w:insideH w:val="single" w:sz="4" w:space="0" w:color="BFC9D6"/>
          <w:insideV w:val="single" w:sz="4" w:space="0" w:color="BFC9D6"/>
        </w:tblBorders>
        <w:tblCellMar>
          <w:left w:w="10" w:type="dxa"/>
          <w:right w:w="10" w:type="dxa"/>
        </w:tblCellMar>
        <w:tblLook w:val="04A0" w:firstRow="1" w:lastRow="0" w:firstColumn="1" w:lastColumn="0" w:noHBand="0" w:noVBand="1"/>
      </w:tblPr>
      <w:tblGrid>
        <w:gridCol w:w="2300"/>
        <w:gridCol w:w="3600"/>
        <w:gridCol w:w="3100"/>
      </w:tblGrid>
      <w:tr w:rsidR="00715923" w:rsidRPr="00F36C89">
        <w:tblPrEx>
          <w:tblCellMar>
            <w:top w:w="0" w:type="dxa"/>
            <w:bottom w:w="0" w:type="dxa"/>
          </w:tblCellMar>
        </w:tblPrEx>
        <w:trPr>
          <w:tblHeader/>
        </w:trPr>
        <w:tc>
          <w:tcPr>
            <w:tcW w:w="2300" w:type="dxa"/>
            <w:shd w:val="clear" w:color="auto" w:fill="1F3864"/>
            <w:tcMar>
              <w:top w:w="70" w:type="dxa"/>
              <w:left w:w="100" w:type="dxa"/>
              <w:bottom w:w="70" w:type="dxa"/>
              <w:right w:w="100" w:type="dxa"/>
            </w:tcMar>
          </w:tcPr>
          <w:p w:rsidR="00715923" w:rsidRPr="00F36C89" w:rsidRDefault="007E7FEE">
            <w:pPr>
              <w:rPr>
                <w:sz w:val="32"/>
                <w:szCs w:val="32"/>
              </w:rPr>
            </w:pPr>
            <w:r w:rsidRPr="00F36C89">
              <w:rPr>
                <w:b/>
                <w:bCs/>
                <w:color w:val="FFFFFF"/>
                <w:sz w:val="24"/>
                <w:szCs w:val="24"/>
              </w:rPr>
              <w:t>Questionnaire section</w:t>
            </w:r>
          </w:p>
        </w:tc>
        <w:tc>
          <w:tcPr>
            <w:tcW w:w="3600" w:type="dxa"/>
            <w:shd w:val="clear" w:color="auto" w:fill="1F3864"/>
            <w:tcMar>
              <w:top w:w="70" w:type="dxa"/>
              <w:left w:w="100" w:type="dxa"/>
              <w:bottom w:w="70" w:type="dxa"/>
              <w:right w:w="100" w:type="dxa"/>
            </w:tcMar>
          </w:tcPr>
          <w:p w:rsidR="00715923" w:rsidRPr="00F36C89" w:rsidRDefault="007E7FEE">
            <w:pPr>
              <w:rPr>
                <w:sz w:val="32"/>
                <w:szCs w:val="32"/>
              </w:rPr>
            </w:pPr>
            <w:r w:rsidRPr="00F36C89">
              <w:rPr>
                <w:b/>
                <w:bCs/>
                <w:color w:val="FFFFFF"/>
                <w:sz w:val="24"/>
                <w:szCs w:val="24"/>
              </w:rPr>
              <w:t>Content</w:t>
            </w:r>
          </w:p>
        </w:tc>
        <w:tc>
          <w:tcPr>
            <w:tcW w:w="3100" w:type="dxa"/>
            <w:shd w:val="clear" w:color="auto" w:fill="1F3864"/>
            <w:tcMar>
              <w:top w:w="70" w:type="dxa"/>
              <w:left w:w="100" w:type="dxa"/>
              <w:bottom w:w="70" w:type="dxa"/>
              <w:right w:w="100" w:type="dxa"/>
            </w:tcMar>
          </w:tcPr>
          <w:p w:rsidR="00715923" w:rsidRPr="00F36C89" w:rsidRDefault="007E7FEE">
            <w:pPr>
              <w:rPr>
                <w:sz w:val="32"/>
                <w:szCs w:val="32"/>
              </w:rPr>
            </w:pPr>
            <w:r w:rsidRPr="00F36C89">
              <w:rPr>
                <w:b/>
                <w:bCs/>
                <w:color w:val="FFFFFF"/>
                <w:sz w:val="24"/>
                <w:szCs w:val="24"/>
              </w:rPr>
              <w:t>Planned analytic use</w:t>
            </w:r>
          </w:p>
        </w:tc>
      </w:tr>
      <w:tr w:rsidR="00715923" w:rsidRPr="00F36C89">
        <w:tblPrEx>
          <w:tblCellMar>
            <w:top w:w="0" w:type="dxa"/>
            <w:bottom w:w="0" w:type="dxa"/>
          </w:tblCellMar>
        </w:tblPrEx>
        <w:tc>
          <w:tcPr>
            <w:tcW w:w="2300" w:type="dxa"/>
            <w:tcMar>
              <w:top w:w="70" w:type="dxa"/>
              <w:left w:w="100" w:type="dxa"/>
              <w:bottom w:w="70" w:type="dxa"/>
              <w:right w:w="100" w:type="dxa"/>
            </w:tcMar>
          </w:tcPr>
          <w:p w:rsidR="00715923" w:rsidRPr="00F36C89" w:rsidRDefault="007E7FEE">
            <w:pPr>
              <w:rPr>
                <w:sz w:val="32"/>
                <w:szCs w:val="32"/>
              </w:rPr>
            </w:pPr>
            <w:r w:rsidRPr="00F36C89">
              <w:rPr>
                <w:sz w:val="24"/>
                <w:szCs w:val="24"/>
              </w:rPr>
              <w:t>Background and access</w:t>
            </w:r>
          </w:p>
        </w:tc>
        <w:tc>
          <w:tcPr>
            <w:tcW w:w="3600" w:type="dxa"/>
            <w:tcMar>
              <w:top w:w="70" w:type="dxa"/>
              <w:left w:w="100" w:type="dxa"/>
              <w:bottom w:w="70" w:type="dxa"/>
              <w:right w:w="100" w:type="dxa"/>
            </w:tcMar>
          </w:tcPr>
          <w:p w:rsidR="00715923" w:rsidRPr="00F36C89" w:rsidRDefault="007E7FEE">
            <w:pPr>
              <w:rPr>
                <w:sz w:val="32"/>
                <w:szCs w:val="32"/>
              </w:rPr>
            </w:pPr>
            <w:r w:rsidRPr="00F36C89">
              <w:rPr>
                <w:sz w:val="24"/>
                <w:szCs w:val="24"/>
              </w:rPr>
              <w:t>Grade, age band, gender, school context, language, device and connectivity, prior media-literacy instruction, school rules</w:t>
            </w:r>
          </w:p>
        </w:tc>
        <w:tc>
          <w:tcPr>
            <w:tcW w:w="3100" w:type="dxa"/>
            <w:tcMar>
              <w:top w:w="70" w:type="dxa"/>
              <w:left w:w="100" w:type="dxa"/>
              <w:bottom w:w="70" w:type="dxa"/>
              <w:right w:w="100" w:type="dxa"/>
            </w:tcMar>
          </w:tcPr>
          <w:p w:rsidR="00715923" w:rsidRPr="00F36C89" w:rsidRDefault="007E7FEE">
            <w:pPr>
              <w:rPr>
                <w:sz w:val="32"/>
                <w:szCs w:val="32"/>
              </w:rPr>
            </w:pPr>
            <w:r w:rsidRPr="00F36C89">
              <w:rPr>
                <w:sz w:val="24"/>
                <w:szCs w:val="24"/>
              </w:rPr>
              <w:t>Description and covariate definition</w:t>
            </w:r>
          </w:p>
        </w:tc>
      </w:tr>
      <w:tr w:rsidR="00715923" w:rsidRPr="00F36C89">
        <w:tblPrEx>
          <w:tblCellMar>
            <w:top w:w="0" w:type="dxa"/>
            <w:bottom w:w="0" w:type="dxa"/>
          </w:tblCellMar>
        </w:tblPrEx>
        <w:tc>
          <w:tcPr>
            <w:tcW w:w="2300" w:type="dxa"/>
            <w:tcMar>
              <w:top w:w="70" w:type="dxa"/>
              <w:left w:w="100" w:type="dxa"/>
              <w:bottom w:w="70" w:type="dxa"/>
              <w:right w:w="100" w:type="dxa"/>
            </w:tcMar>
          </w:tcPr>
          <w:p w:rsidR="00715923" w:rsidRPr="00F36C89" w:rsidRDefault="007E7FEE">
            <w:pPr>
              <w:rPr>
                <w:sz w:val="32"/>
                <w:szCs w:val="32"/>
              </w:rPr>
            </w:pPr>
            <w:r w:rsidRPr="00F36C89">
              <w:rPr>
                <w:sz w:val="24"/>
                <w:szCs w:val="24"/>
              </w:rPr>
              <w:lastRenderedPageBreak/>
              <w:t>News exposure and use</w:t>
            </w:r>
          </w:p>
        </w:tc>
        <w:tc>
          <w:tcPr>
            <w:tcW w:w="3600" w:type="dxa"/>
            <w:tcMar>
              <w:top w:w="70" w:type="dxa"/>
              <w:left w:w="100" w:type="dxa"/>
              <w:bottom w:w="70" w:type="dxa"/>
              <w:right w:w="100" w:type="dxa"/>
            </w:tcMar>
          </w:tcPr>
          <w:p w:rsidR="00715923" w:rsidRPr="00F36C89" w:rsidRDefault="007E7FEE">
            <w:pPr>
              <w:rPr>
                <w:sz w:val="32"/>
                <w:szCs w:val="32"/>
              </w:rPr>
            </w:pPr>
            <w:r w:rsidRPr="00F36C89">
              <w:rPr>
                <w:sz w:val="24"/>
                <w:szCs w:val="24"/>
              </w:rPr>
              <w:t>Attention to news, platform repertoire, frequency, purposes, group forwarding, guidance sources</w:t>
            </w:r>
          </w:p>
        </w:tc>
        <w:tc>
          <w:tcPr>
            <w:tcW w:w="3100" w:type="dxa"/>
            <w:tcMar>
              <w:top w:w="70" w:type="dxa"/>
              <w:left w:w="100" w:type="dxa"/>
              <w:bottom w:w="70" w:type="dxa"/>
              <w:right w:w="100" w:type="dxa"/>
            </w:tcMar>
          </w:tcPr>
          <w:p w:rsidR="00715923" w:rsidRPr="00F36C89" w:rsidRDefault="007E7FEE">
            <w:pPr>
              <w:rPr>
                <w:sz w:val="32"/>
                <w:szCs w:val="32"/>
              </w:rPr>
            </w:pPr>
            <w:r w:rsidRPr="00F36C89">
              <w:rPr>
                <w:sz w:val="24"/>
                <w:szCs w:val="24"/>
              </w:rPr>
              <w:t>Exposure profile; skip logic for low-engagement respondents</w:t>
            </w:r>
          </w:p>
        </w:tc>
      </w:tr>
      <w:tr w:rsidR="00715923" w:rsidRPr="00F36C89">
        <w:tblPrEx>
          <w:tblCellMar>
            <w:top w:w="0" w:type="dxa"/>
            <w:bottom w:w="0" w:type="dxa"/>
          </w:tblCellMar>
        </w:tblPrEx>
        <w:tc>
          <w:tcPr>
            <w:tcW w:w="2300" w:type="dxa"/>
            <w:tcMar>
              <w:top w:w="70" w:type="dxa"/>
              <w:left w:w="100" w:type="dxa"/>
              <w:bottom w:w="70" w:type="dxa"/>
              <w:right w:w="100" w:type="dxa"/>
            </w:tcMar>
          </w:tcPr>
          <w:p w:rsidR="00715923" w:rsidRPr="00F36C89" w:rsidRDefault="007E7FEE">
            <w:pPr>
              <w:rPr>
                <w:sz w:val="32"/>
                <w:szCs w:val="32"/>
              </w:rPr>
            </w:pPr>
            <w:r w:rsidRPr="00F36C89">
              <w:rPr>
                <w:sz w:val="24"/>
                <w:szCs w:val="24"/>
              </w:rPr>
              <w:t>Algorithmic and personalisation awareness</w:t>
            </w:r>
          </w:p>
        </w:tc>
        <w:tc>
          <w:tcPr>
            <w:tcW w:w="3600" w:type="dxa"/>
            <w:tcMar>
              <w:top w:w="70" w:type="dxa"/>
              <w:left w:w="100" w:type="dxa"/>
              <w:bottom w:w="70" w:type="dxa"/>
              <w:right w:w="100" w:type="dxa"/>
            </w:tcMar>
          </w:tcPr>
          <w:p w:rsidR="00715923" w:rsidRPr="00F36C89" w:rsidRDefault="007E7FEE">
            <w:pPr>
              <w:rPr>
                <w:sz w:val="32"/>
                <w:szCs w:val="32"/>
              </w:rPr>
            </w:pPr>
            <w:r w:rsidRPr="00F36C89">
              <w:rPr>
                <w:sz w:val="24"/>
                <w:szCs w:val="24"/>
              </w:rPr>
              <w:t>Ten objective items</w:t>
            </w:r>
          </w:p>
        </w:tc>
        <w:tc>
          <w:tcPr>
            <w:tcW w:w="3100" w:type="dxa"/>
            <w:tcMar>
              <w:top w:w="70" w:type="dxa"/>
              <w:left w:w="100" w:type="dxa"/>
              <w:bottom w:w="70" w:type="dxa"/>
              <w:right w:w="100" w:type="dxa"/>
            </w:tcMar>
          </w:tcPr>
          <w:p w:rsidR="00715923" w:rsidRPr="00F36C89" w:rsidRDefault="007E7FEE">
            <w:pPr>
              <w:rPr>
                <w:sz w:val="32"/>
                <w:szCs w:val="32"/>
              </w:rPr>
            </w:pPr>
            <w:r w:rsidRPr="00F36C89">
              <w:rPr>
                <w:sz w:val="24"/>
                <w:szCs w:val="24"/>
              </w:rPr>
              <w:t>Item difficulty; prespecified awarene</w:t>
            </w:r>
            <w:r w:rsidRPr="00F36C89">
              <w:rPr>
                <w:sz w:val="24"/>
                <w:szCs w:val="24"/>
              </w:rPr>
              <w:t>ss score if coherent</w:t>
            </w:r>
          </w:p>
        </w:tc>
      </w:tr>
      <w:tr w:rsidR="00715923" w:rsidRPr="00F36C89">
        <w:tblPrEx>
          <w:tblCellMar>
            <w:top w:w="0" w:type="dxa"/>
            <w:bottom w:w="0" w:type="dxa"/>
          </w:tblCellMar>
        </w:tblPrEx>
        <w:tc>
          <w:tcPr>
            <w:tcW w:w="2300" w:type="dxa"/>
            <w:tcMar>
              <w:top w:w="70" w:type="dxa"/>
              <w:left w:w="100" w:type="dxa"/>
              <w:bottom w:w="70" w:type="dxa"/>
              <w:right w:w="100" w:type="dxa"/>
            </w:tcMar>
          </w:tcPr>
          <w:p w:rsidR="00715923" w:rsidRPr="00F36C89" w:rsidRDefault="007E7FEE">
            <w:pPr>
              <w:rPr>
                <w:sz w:val="32"/>
                <w:szCs w:val="32"/>
              </w:rPr>
            </w:pPr>
            <w:r w:rsidRPr="00F36C89">
              <w:rPr>
                <w:sz w:val="24"/>
                <w:szCs w:val="24"/>
              </w:rPr>
              <w:t>Applied platform competence</w:t>
            </w:r>
          </w:p>
        </w:tc>
        <w:tc>
          <w:tcPr>
            <w:tcW w:w="3600" w:type="dxa"/>
            <w:tcMar>
              <w:top w:w="70" w:type="dxa"/>
              <w:left w:w="100" w:type="dxa"/>
              <w:bottom w:w="70" w:type="dxa"/>
              <w:right w:w="100" w:type="dxa"/>
            </w:tcMar>
          </w:tcPr>
          <w:p w:rsidR="00715923" w:rsidRPr="00F36C89" w:rsidRDefault="007E7FEE">
            <w:pPr>
              <w:rPr>
                <w:sz w:val="32"/>
                <w:szCs w:val="32"/>
              </w:rPr>
            </w:pPr>
            <w:r w:rsidRPr="00F36C89">
              <w:rPr>
                <w:sz w:val="24"/>
                <w:szCs w:val="24"/>
              </w:rPr>
              <w:t>Five agreement items</w:t>
            </w:r>
          </w:p>
        </w:tc>
        <w:tc>
          <w:tcPr>
            <w:tcW w:w="3100" w:type="dxa"/>
            <w:tcMar>
              <w:top w:w="70" w:type="dxa"/>
              <w:left w:w="100" w:type="dxa"/>
              <w:bottom w:w="70" w:type="dxa"/>
              <w:right w:w="100" w:type="dxa"/>
            </w:tcMar>
          </w:tcPr>
          <w:p w:rsidR="00715923" w:rsidRPr="00F36C89" w:rsidRDefault="007E7FEE">
            <w:pPr>
              <w:rPr>
                <w:sz w:val="32"/>
                <w:szCs w:val="32"/>
              </w:rPr>
            </w:pPr>
            <w:r w:rsidRPr="00F36C89">
              <w:rPr>
                <w:sz w:val="24"/>
                <w:szCs w:val="24"/>
              </w:rPr>
              <w:t>Candidate reflective scale</w:t>
            </w:r>
          </w:p>
        </w:tc>
      </w:tr>
      <w:tr w:rsidR="00715923" w:rsidRPr="00F36C89">
        <w:tblPrEx>
          <w:tblCellMar>
            <w:top w:w="0" w:type="dxa"/>
            <w:bottom w:w="0" w:type="dxa"/>
          </w:tblCellMar>
        </w:tblPrEx>
        <w:tc>
          <w:tcPr>
            <w:tcW w:w="2300" w:type="dxa"/>
            <w:tcMar>
              <w:top w:w="70" w:type="dxa"/>
              <w:left w:w="100" w:type="dxa"/>
              <w:bottom w:w="70" w:type="dxa"/>
              <w:right w:w="100" w:type="dxa"/>
            </w:tcMar>
          </w:tcPr>
          <w:p w:rsidR="00715923" w:rsidRPr="00F36C89" w:rsidRDefault="007E7FEE">
            <w:pPr>
              <w:rPr>
                <w:sz w:val="32"/>
                <w:szCs w:val="32"/>
              </w:rPr>
            </w:pPr>
            <w:r w:rsidRPr="00F36C89">
              <w:rPr>
                <w:sz w:val="24"/>
                <w:szCs w:val="24"/>
              </w:rPr>
              <w:t>Source evaluation and verification</w:t>
            </w:r>
          </w:p>
        </w:tc>
        <w:tc>
          <w:tcPr>
            <w:tcW w:w="3600" w:type="dxa"/>
            <w:tcMar>
              <w:top w:w="70" w:type="dxa"/>
              <w:left w:w="100" w:type="dxa"/>
              <w:bottom w:w="70" w:type="dxa"/>
              <w:right w:w="100" w:type="dxa"/>
            </w:tcMar>
          </w:tcPr>
          <w:p w:rsidR="00715923" w:rsidRPr="00F36C89" w:rsidRDefault="007E7FEE">
            <w:pPr>
              <w:rPr>
                <w:sz w:val="32"/>
                <w:szCs w:val="32"/>
              </w:rPr>
            </w:pPr>
            <w:r w:rsidRPr="00F36C89">
              <w:rPr>
                <w:sz w:val="24"/>
                <w:szCs w:val="24"/>
              </w:rPr>
              <w:t>Seven frequency items and three scenarios</w:t>
            </w:r>
          </w:p>
        </w:tc>
        <w:tc>
          <w:tcPr>
            <w:tcW w:w="3100" w:type="dxa"/>
            <w:tcMar>
              <w:top w:w="70" w:type="dxa"/>
              <w:left w:w="100" w:type="dxa"/>
              <w:bottom w:w="70" w:type="dxa"/>
              <w:right w:w="100" w:type="dxa"/>
            </w:tcMar>
          </w:tcPr>
          <w:p w:rsidR="00715923" w:rsidRPr="00F36C89" w:rsidRDefault="007E7FEE">
            <w:pPr>
              <w:rPr>
                <w:sz w:val="32"/>
                <w:szCs w:val="32"/>
              </w:rPr>
            </w:pPr>
            <w:r w:rsidRPr="00F36C89">
              <w:rPr>
                <w:sz w:val="24"/>
                <w:szCs w:val="24"/>
              </w:rPr>
              <w:t>Behaviour profile plus performance score</w:t>
            </w:r>
          </w:p>
        </w:tc>
      </w:tr>
      <w:tr w:rsidR="00715923" w:rsidRPr="00F36C89">
        <w:tblPrEx>
          <w:tblCellMar>
            <w:top w:w="0" w:type="dxa"/>
            <w:bottom w:w="0" w:type="dxa"/>
          </w:tblCellMar>
        </w:tblPrEx>
        <w:tc>
          <w:tcPr>
            <w:tcW w:w="2300" w:type="dxa"/>
            <w:tcMar>
              <w:top w:w="70" w:type="dxa"/>
              <w:left w:w="100" w:type="dxa"/>
              <w:bottom w:w="70" w:type="dxa"/>
              <w:right w:w="100" w:type="dxa"/>
            </w:tcMar>
          </w:tcPr>
          <w:p w:rsidR="00715923" w:rsidRPr="00F36C89" w:rsidRDefault="007E7FEE">
            <w:pPr>
              <w:rPr>
                <w:sz w:val="32"/>
                <w:szCs w:val="32"/>
              </w:rPr>
            </w:pPr>
            <w:r w:rsidRPr="00F36C89">
              <w:rPr>
                <w:sz w:val="24"/>
                <w:szCs w:val="24"/>
              </w:rPr>
              <w:t>Misinformation susceptibility</w:t>
            </w:r>
          </w:p>
        </w:tc>
        <w:tc>
          <w:tcPr>
            <w:tcW w:w="3600" w:type="dxa"/>
            <w:tcMar>
              <w:top w:w="70" w:type="dxa"/>
              <w:left w:w="100" w:type="dxa"/>
              <w:bottom w:w="70" w:type="dxa"/>
              <w:right w:w="100" w:type="dxa"/>
            </w:tcMar>
          </w:tcPr>
          <w:p w:rsidR="00715923" w:rsidRPr="00F36C89" w:rsidRDefault="007E7FEE">
            <w:pPr>
              <w:rPr>
                <w:sz w:val="32"/>
                <w:szCs w:val="32"/>
              </w:rPr>
            </w:pPr>
            <w:r w:rsidRPr="00F36C89">
              <w:rPr>
                <w:sz w:val="24"/>
                <w:szCs w:val="24"/>
              </w:rPr>
              <w:t>Eight balanced headline judgements plus self-rated ability</w:t>
            </w:r>
          </w:p>
        </w:tc>
        <w:tc>
          <w:tcPr>
            <w:tcW w:w="3100" w:type="dxa"/>
            <w:tcMar>
              <w:top w:w="70" w:type="dxa"/>
              <w:left w:w="100" w:type="dxa"/>
              <w:bottom w:w="70" w:type="dxa"/>
              <w:right w:w="100" w:type="dxa"/>
            </w:tcMar>
          </w:tcPr>
          <w:p w:rsidR="00715923" w:rsidRPr="00F36C89" w:rsidRDefault="007E7FEE">
            <w:pPr>
              <w:rPr>
                <w:sz w:val="32"/>
                <w:szCs w:val="32"/>
              </w:rPr>
            </w:pPr>
            <w:r w:rsidRPr="00F36C89">
              <w:rPr>
                <w:sz w:val="24"/>
                <w:szCs w:val="24"/>
              </w:rPr>
              <w:t>Discernment and bias indices; confidence-accuracy gap</w:t>
            </w:r>
          </w:p>
        </w:tc>
      </w:tr>
      <w:tr w:rsidR="00715923" w:rsidRPr="00F36C89">
        <w:tblPrEx>
          <w:tblCellMar>
            <w:top w:w="0" w:type="dxa"/>
            <w:bottom w:w="0" w:type="dxa"/>
          </w:tblCellMar>
        </w:tblPrEx>
        <w:tc>
          <w:tcPr>
            <w:tcW w:w="2300" w:type="dxa"/>
            <w:tcMar>
              <w:top w:w="70" w:type="dxa"/>
              <w:left w:w="100" w:type="dxa"/>
              <w:bottom w:w="70" w:type="dxa"/>
              <w:right w:w="100" w:type="dxa"/>
            </w:tcMar>
          </w:tcPr>
          <w:p w:rsidR="00715923" w:rsidRPr="00F36C89" w:rsidRDefault="007E7FEE">
            <w:pPr>
              <w:rPr>
                <w:sz w:val="32"/>
                <w:szCs w:val="32"/>
              </w:rPr>
            </w:pPr>
            <w:r w:rsidRPr="00F36C89">
              <w:rPr>
                <w:sz w:val="24"/>
                <w:szCs w:val="24"/>
              </w:rPr>
              <w:t>Risk and ethical awareness</w:t>
            </w:r>
          </w:p>
        </w:tc>
        <w:tc>
          <w:tcPr>
            <w:tcW w:w="3600" w:type="dxa"/>
            <w:tcMar>
              <w:top w:w="70" w:type="dxa"/>
              <w:left w:w="100" w:type="dxa"/>
              <w:bottom w:w="70" w:type="dxa"/>
              <w:right w:w="100" w:type="dxa"/>
            </w:tcMar>
          </w:tcPr>
          <w:p w:rsidR="00715923" w:rsidRPr="00F36C89" w:rsidRDefault="007E7FEE">
            <w:pPr>
              <w:rPr>
                <w:sz w:val="32"/>
                <w:szCs w:val="32"/>
              </w:rPr>
            </w:pPr>
            <w:r w:rsidRPr="00F36C89">
              <w:rPr>
                <w:sz w:val="24"/>
                <w:szCs w:val="24"/>
              </w:rPr>
              <w:t>Eight knowledge and agreement items</w:t>
            </w:r>
          </w:p>
        </w:tc>
        <w:tc>
          <w:tcPr>
            <w:tcW w:w="3100" w:type="dxa"/>
            <w:tcMar>
              <w:top w:w="70" w:type="dxa"/>
              <w:left w:w="100" w:type="dxa"/>
              <w:bottom w:w="70" w:type="dxa"/>
              <w:right w:w="100" w:type="dxa"/>
            </w:tcMar>
          </w:tcPr>
          <w:p w:rsidR="00715923" w:rsidRPr="00F36C89" w:rsidRDefault="007E7FEE">
            <w:pPr>
              <w:rPr>
                <w:sz w:val="32"/>
                <w:szCs w:val="32"/>
              </w:rPr>
            </w:pPr>
            <w:r w:rsidRPr="00F36C89">
              <w:rPr>
                <w:sz w:val="24"/>
                <w:szCs w:val="24"/>
              </w:rPr>
              <w:t>Profile; subscale only if structure supports it</w:t>
            </w:r>
          </w:p>
        </w:tc>
      </w:tr>
      <w:tr w:rsidR="00715923" w:rsidRPr="00F36C89">
        <w:tblPrEx>
          <w:tblCellMar>
            <w:top w:w="0" w:type="dxa"/>
            <w:bottom w:w="0" w:type="dxa"/>
          </w:tblCellMar>
        </w:tblPrEx>
        <w:tc>
          <w:tcPr>
            <w:tcW w:w="2300" w:type="dxa"/>
            <w:tcMar>
              <w:top w:w="70" w:type="dxa"/>
              <w:left w:w="100" w:type="dxa"/>
              <w:bottom w:w="70" w:type="dxa"/>
              <w:right w:w="100" w:type="dxa"/>
            </w:tcMar>
          </w:tcPr>
          <w:p w:rsidR="00715923" w:rsidRPr="00F36C89" w:rsidRDefault="007E7FEE">
            <w:pPr>
              <w:rPr>
                <w:sz w:val="32"/>
                <w:szCs w:val="32"/>
              </w:rPr>
            </w:pPr>
            <w:r w:rsidRPr="00F36C89">
              <w:rPr>
                <w:sz w:val="24"/>
                <w:szCs w:val="24"/>
              </w:rPr>
              <w:t>Responsible sharing behaviour</w:t>
            </w:r>
          </w:p>
        </w:tc>
        <w:tc>
          <w:tcPr>
            <w:tcW w:w="3600" w:type="dxa"/>
            <w:tcMar>
              <w:top w:w="70" w:type="dxa"/>
              <w:left w:w="100" w:type="dxa"/>
              <w:bottom w:w="70" w:type="dxa"/>
              <w:right w:w="100" w:type="dxa"/>
            </w:tcMar>
          </w:tcPr>
          <w:p w:rsidR="00715923" w:rsidRPr="00F36C89" w:rsidRDefault="007E7FEE">
            <w:pPr>
              <w:rPr>
                <w:sz w:val="32"/>
                <w:szCs w:val="32"/>
              </w:rPr>
            </w:pPr>
            <w:r w:rsidRPr="00F36C89">
              <w:rPr>
                <w:sz w:val="24"/>
                <w:szCs w:val="24"/>
              </w:rPr>
              <w:t>Six frequency and intention items</w:t>
            </w:r>
          </w:p>
        </w:tc>
        <w:tc>
          <w:tcPr>
            <w:tcW w:w="3100" w:type="dxa"/>
            <w:tcMar>
              <w:top w:w="70" w:type="dxa"/>
              <w:left w:w="100" w:type="dxa"/>
              <w:bottom w:w="70" w:type="dxa"/>
              <w:right w:w="100" w:type="dxa"/>
            </w:tcMar>
          </w:tcPr>
          <w:p w:rsidR="00715923" w:rsidRPr="00F36C89" w:rsidRDefault="007E7FEE">
            <w:pPr>
              <w:rPr>
                <w:sz w:val="32"/>
                <w:szCs w:val="32"/>
              </w:rPr>
            </w:pPr>
            <w:r w:rsidRPr="00F36C89">
              <w:rPr>
                <w:sz w:val="24"/>
                <w:szCs w:val="24"/>
              </w:rPr>
              <w:t>Candidate reflective scale</w:t>
            </w:r>
          </w:p>
        </w:tc>
      </w:tr>
      <w:tr w:rsidR="00715923" w:rsidRPr="00F36C89">
        <w:tblPrEx>
          <w:tblCellMar>
            <w:top w:w="0" w:type="dxa"/>
            <w:bottom w:w="0" w:type="dxa"/>
          </w:tblCellMar>
        </w:tblPrEx>
        <w:tc>
          <w:tcPr>
            <w:tcW w:w="2300" w:type="dxa"/>
            <w:tcMar>
              <w:top w:w="70" w:type="dxa"/>
              <w:left w:w="100" w:type="dxa"/>
              <w:bottom w:w="70" w:type="dxa"/>
              <w:right w:w="100" w:type="dxa"/>
            </w:tcMar>
          </w:tcPr>
          <w:p w:rsidR="00715923" w:rsidRPr="00F36C89" w:rsidRDefault="007E7FEE">
            <w:pPr>
              <w:rPr>
                <w:sz w:val="32"/>
                <w:szCs w:val="32"/>
              </w:rPr>
            </w:pPr>
            <w:r w:rsidRPr="00F36C89">
              <w:rPr>
                <w:sz w:val="24"/>
                <w:szCs w:val="24"/>
              </w:rPr>
              <w:t>News trust calibration</w:t>
            </w:r>
          </w:p>
        </w:tc>
        <w:tc>
          <w:tcPr>
            <w:tcW w:w="3600" w:type="dxa"/>
            <w:tcMar>
              <w:top w:w="70" w:type="dxa"/>
              <w:left w:w="100" w:type="dxa"/>
              <w:bottom w:w="70" w:type="dxa"/>
              <w:right w:w="100" w:type="dxa"/>
            </w:tcMar>
          </w:tcPr>
          <w:p w:rsidR="00715923" w:rsidRPr="00F36C89" w:rsidRDefault="007E7FEE">
            <w:pPr>
              <w:rPr>
                <w:sz w:val="32"/>
                <w:szCs w:val="32"/>
              </w:rPr>
            </w:pPr>
            <w:r w:rsidRPr="00F36C89">
              <w:rPr>
                <w:sz w:val="24"/>
                <w:szCs w:val="24"/>
              </w:rPr>
              <w:t>Five task-sensitive items</w:t>
            </w:r>
          </w:p>
        </w:tc>
        <w:tc>
          <w:tcPr>
            <w:tcW w:w="3100" w:type="dxa"/>
            <w:tcMar>
              <w:top w:w="70" w:type="dxa"/>
              <w:left w:w="100" w:type="dxa"/>
              <w:bottom w:w="70" w:type="dxa"/>
              <w:right w:w="100" w:type="dxa"/>
            </w:tcMar>
          </w:tcPr>
          <w:p w:rsidR="00715923" w:rsidRPr="00F36C89" w:rsidRDefault="007E7FEE">
            <w:pPr>
              <w:rPr>
                <w:sz w:val="32"/>
                <w:szCs w:val="32"/>
              </w:rPr>
            </w:pPr>
            <w:r w:rsidRPr="00F36C89">
              <w:rPr>
                <w:sz w:val="24"/>
                <w:szCs w:val="24"/>
              </w:rPr>
              <w:t>Item profile; non-linear exploratory analysis</w:t>
            </w:r>
          </w:p>
        </w:tc>
      </w:tr>
      <w:tr w:rsidR="00715923" w:rsidRPr="00F36C89">
        <w:tblPrEx>
          <w:tblCellMar>
            <w:top w:w="0" w:type="dxa"/>
            <w:bottom w:w="0" w:type="dxa"/>
          </w:tblCellMar>
        </w:tblPrEx>
        <w:tc>
          <w:tcPr>
            <w:tcW w:w="2300" w:type="dxa"/>
            <w:tcMar>
              <w:top w:w="70" w:type="dxa"/>
              <w:left w:w="100" w:type="dxa"/>
              <w:bottom w:w="70" w:type="dxa"/>
              <w:right w:w="100" w:type="dxa"/>
            </w:tcMar>
          </w:tcPr>
          <w:p w:rsidR="00715923" w:rsidRPr="00F36C89" w:rsidRDefault="007E7FEE">
            <w:pPr>
              <w:rPr>
                <w:sz w:val="32"/>
                <w:szCs w:val="32"/>
              </w:rPr>
            </w:pPr>
            <w:r w:rsidRPr="00F36C89">
              <w:rPr>
                <w:sz w:val="24"/>
                <w:szCs w:val="24"/>
              </w:rPr>
              <w:t>Open responses</w:t>
            </w:r>
          </w:p>
        </w:tc>
        <w:tc>
          <w:tcPr>
            <w:tcW w:w="3600" w:type="dxa"/>
            <w:tcMar>
              <w:top w:w="70" w:type="dxa"/>
              <w:left w:w="100" w:type="dxa"/>
              <w:bottom w:w="70" w:type="dxa"/>
              <w:right w:w="100" w:type="dxa"/>
            </w:tcMar>
          </w:tcPr>
          <w:p w:rsidR="00715923" w:rsidRPr="00F36C89" w:rsidRDefault="007E7FEE">
            <w:pPr>
              <w:rPr>
                <w:sz w:val="32"/>
                <w:szCs w:val="32"/>
              </w:rPr>
            </w:pPr>
            <w:r w:rsidRPr="00F36C89">
              <w:rPr>
                <w:sz w:val="24"/>
                <w:szCs w:val="24"/>
              </w:rPr>
              <w:t>Benefit, concern, requested school support</w:t>
            </w:r>
          </w:p>
        </w:tc>
        <w:tc>
          <w:tcPr>
            <w:tcW w:w="3100" w:type="dxa"/>
            <w:tcMar>
              <w:top w:w="70" w:type="dxa"/>
              <w:left w:w="100" w:type="dxa"/>
              <w:bottom w:w="70" w:type="dxa"/>
              <w:right w:w="100" w:type="dxa"/>
            </w:tcMar>
          </w:tcPr>
          <w:p w:rsidR="00715923" w:rsidRPr="00F36C89" w:rsidRDefault="007E7FEE">
            <w:pPr>
              <w:rPr>
                <w:sz w:val="32"/>
                <w:szCs w:val="32"/>
              </w:rPr>
            </w:pPr>
            <w:r w:rsidRPr="00F36C89">
              <w:rPr>
                <w:sz w:val="24"/>
                <w:szCs w:val="24"/>
              </w:rPr>
              <w:t>Inductive coding with deductive framework map</w:t>
            </w:r>
          </w:p>
        </w:tc>
      </w:tr>
    </w:tbl>
    <w:p w:rsidR="00715923" w:rsidRPr="00F36C89" w:rsidRDefault="007E7FEE">
      <w:pPr>
        <w:spacing w:after="200"/>
        <w:jc w:val="both"/>
        <w:rPr>
          <w:sz w:val="32"/>
          <w:szCs w:val="32"/>
        </w:rPr>
      </w:pPr>
      <w:r w:rsidRPr="00F36C89">
        <w:rPr>
          <w:color w:val="595959"/>
          <w:sz w:val="24"/>
          <w:szCs w:val="24"/>
        </w:rPr>
        <w:t>Note. Final item retention and scale composition depend on expert review, cognitive testing, pilot performance, and the main-sample measurement model.</w:t>
      </w:r>
    </w:p>
    <w:p w:rsidR="00715923" w:rsidRPr="00F36C89" w:rsidRDefault="007E7FEE">
      <w:pPr>
        <w:pStyle w:val="Heading2"/>
        <w:keepNext/>
        <w:spacing w:before="260" w:after="120"/>
        <w:rPr>
          <w:sz w:val="32"/>
          <w:szCs w:val="32"/>
        </w:rPr>
      </w:pPr>
      <w:r w:rsidRPr="00F36C89">
        <w:rPr>
          <w:b/>
          <w:bCs/>
          <w:color w:val="1F7A8C"/>
          <w:sz w:val="36"/>
          <w:szCs w:val="36"/>
        </w:rPr>
        <w:t>5.5 Pilot testing, validity, and reliability</w:t>
      </w:r>
    </w:p>
    <w:p w:rsidR="00715923" w:rsidRPr="00F36C89" w:rsidRDefault="007E7FEE">
      <w:pPr>
        <w:spacing w:after="140"/>
        <w:jc w:val="both"/>
        <w:rPr>
          <w:sz w:val="32"/>
          <w:szCs w:val="32"/>
        </w:rPr>
      </w:pPr>
      <w:r w:rsidRPr="00F36C89">
        <w:rPr>
          <w:sz w:val="32"/>
          <w:szCs w:val="32"/>
        </w:rPr>
        <w:t>Instrument de</w:t>
      </w:r>
      <w:r w:rsidRPr="00F36C89">
        <w:rPr>
          <w:sz w:val="32"/>
          <w:szCs w:val="32"/>
        </w:rPr>
        <w:t xml:space="preserve">velopment will proceed through three gates. First, a panel of approximately three to five reviewers, ideally including a secondary-school teacher of social science or language, a journalism or fact-checking practitioner, a measurement-informed researcher, </w:t>
      </w:r>
      <w:r w:rsidRPr="00F36C89">
        <w:rPr>
          <w:sz w:val="32"/>
          <w:szCs w:val="32"/>
        </w:rPr>
        <w:t xml:space="preserve">and a child-safeguarding or ethics adviser, will judge relevance, clarity, age appropriateness, factual accuracy of headline items, and construct coverage. Item-level content-validity indices may be calculated if reviewers use a four-point relevance scale </w:t>
      </w:r>
      <w:r w:rsidRPr="00F36C89">
        <w:rPr>
          <w:sz w:val="32"/>
          <w:szCs w:val="32"/>
        </w:rPr>
        <w:t>[75], but numerical indices will supplement, not replace, documented comments and revision decisions.</w:t>
      </w:r>
    </w:p>
    <w:p w:rsidR="00715923" w:rsidRPr="00F36C89" w:rsidRDefault="007E7FEE">
      <w:pPr>
        <w:spacing w:after="140"/>
        <w:jc w:val="both"/>
        <w:rPr>
          <w:sz w:val="32"/>
          <w:szCs w:val="32"/>
        </w:rPr>
      </w:pPr>
      <w:r w:rsidRPr="00F36C89">
        <w:rPr>
          <w:sz w:val="32"/>
          <w:szCs w:val="32"/>
        </w:rPr>
        <w:t xml:space="preserve">Second, cognitive interviews with about six to ten students from the target grades but outside the main sample will use think-aloud and </w:t>
      </w:r>
      <w:r w:rsidRPr="00F36C89">
        <w:rPr>
          <w:sz w:val="32"/>
          <w:szCs w:val="32"/>
        </w:rPr>
        <w:lastRenderedPageBreak/>
        <w:t>probing techniques</w:t>
      </w:r>
      <w:r w:rsidRPr="00F36C89">
        <w:rPr>
          <w:sz w:val="32"/>
          <w:szCs w:val="32"/>
        </w:rPr>
        <w:t xml:space="preserve"> [74]. Students will explain what they believe each item asks, how they chose a response, and whether any term is confusing or uncomfortable. This stage is crucial because an apparently simple item can be interpreted as a test of political loyalty, general</w:t>
      </w:r>
      <w:r w:rsidRPr="00F36C89">
        <w:rPr>
          <w:sz w:val="32"/>
          <w:szCs w:val="32"/>
        </w:rPr>
        <w:t xml:space="preserve"> knowledge, or moral character rather than the intended construct. Headline items in particular must be checked for unintended cueing, since a false item that looks obviously fabricated to an adult may read as ordinary to a student, or the reverse. Intervi</w:t>
      </w:r>
      <w:r w:rsidRPr="00F36C89">
        <w:rPr>
          <w:sz w:val="32"/>
          <w:szCs w:val="32"/>
        </w:rPr>
        <w:t>ew notes will be de-identified and used to revise wording and response options.</w:t>
      </w:r>
    </w:p>
    <w:p w:rsidR="00715923" w:rsidRPr="00F36C89" w:rsidRDefault="007E7FEE">
      <w:pPr>
        <w:spacing w:after="140"/>
        <w:jc w:val="both"/>
        <w:rPr>
          <w:sz w:val="32"/>
          <w:szCs w:val="32"/>
        </w:rPr>
      </w:pPr>
      <w:r w:rsidRPr="00F36C89">
        <w:rPr>
          <w:sz w:val="32"/>
          <w:szCs w:val="32"/>
        </w:rPr>
        <w:t>Third, a pilot survey with approximately thirty to fifty students from schools or sections not included in the main analysis will assess completion time, missingness, floor and</w:t>
      </w:r>
      <w:r w:rsidRPr="00F36C89">
        <w:rPr>
          <w:sz w:val="32"/>
          <w:szCs w:val="32"/>
        </w:rPr>
        <w:t xml:space="preserve"> ceiling effects, distractor and headline-item performance, response distributions, and preliminary internal consistency. This pilot range is practical for usability testing but too small for definitive factor analysis. Items will not be deleted solely to </w:t>
      </w:r>
      <w:r w:rsidRPr="00F36C89">
        <w:rPr>
          <w:sz w:val="32"/>
          <w:szCs w:val="32"/>
        </w:rPr>
        <w:t>increase a reliability coefficient. Revision will consider content importance, comprehension, item-total behaviour, and redundancy.</w:t>
      </w:r>
    </w:p>
    <w:p w:rsidR="00715923" w:rsidRPr="00F36C89" w:rsidRDefault="007E7FEE">
      <w:pPr>
        <w:spacing w:after="140"/>
        <w:jc w:val="both"/>
        <w:rPr>
          <w:sz w:val="32"/>
          <w:szCs w:val="32"/>
        </w:rPr>
      </w:pPr>
      <w:r w:rsidRPr="00F36C89">
        <w:rPr>
          <w:sz w:val="32"/>
          <w:szCs w:val="32"/>
        </w:rPr>
        <w:t xml:space="preserve">In the main sample, measurement evidence will be examined before hypothesis testing, following contemporary validity theory </w:t>
      </w:r>
      <w:r w:rsidRPr="00F36C89">
        <w:rPr>
          <w:sz w:val="32"/>
          <w:szCs w:val="32"/>
        </w:rPr>
        <w:t>in which validity is a property of score interpretation rather than of an instrument [71,72]. For candidate reflective scales, dimensionality will be assessed using exploratory or confirmatory factor analysis depending on sample size and the strength of pr</w:t>
      </w:r>
      <w:r w:rsidRPr="00F36C89">
        <w:rPr>
          <w:sz w:val="32"/>
          <w:szCs w:val="32"/>
        </w:rPr>
        <w:t>ior specification, with ordinal estimators preferred for Likert items. McDonald's omega will be the primary internal-consistency estimate, with alpha reported for comparison and with the known limitations of alpha for ordinal, multidimensional data acknowl</w:t>
      </w:r>
      <w:r w:rsidRPr="00F36C89">
        <w:rPr>
          <w:sz w:val="32"/>
          <w:szCs w:val="32"/>
        </w:rPr>
        <w:t>edged [76,77]. Objective and headline items will be reported individually and may be evaluated with item-response or Rasch methods if assumptions and sample size are adequate. Known-groups or convergent evidence may be explored through prior instruction an</w:t>
      </w:r>
      <w:r w:rsidRPr="00F36C89">
        <w:rPr>
          <w:sz w:val="32"/>
          <w:szCs w:val="32"/>
        </w:rPr>
        <w:t>d related constructs, but no single correlation will be labelled proof of validity.</w:t>
      </w:r>
    </w:p>
    <w:p w:rsidR="00715923" w:rsidRPr="00F36C89" w:rsidRDefault="007E7FEE">
      <w:pPr>
        <w:pStyle w:val="Heading2"/>
        <w:keepNext/>
        <w:spacing w:before="260" w:after="120"/>
        <w:rPr>
          <w:sz w:val="32"/>
          <w:szCs w:val="32"/>
        </w:rPr>
      </w:pPr>
      <w:r w:rsidRPr="00F36C89">
        <w:rPr>
          <w:b/>
          <w:bCs/>
          <w:color w:val="1F7A8C"/>
          <w:sz w:val="36"/>
          <w:szCs w:val="36"/>
        </w:rPr>
        <w:lastRenderedPageBreak/>
        <w:t>5.6 Recruitment and data-collection procedure</w:t>
      </w:r>
    </w:p>
    <w:p w:rsidR="00715923" w:rsidRPr="00F36C89" w:rsidRDefault="007E7FEE">
      <w:pPr>
        <w:pStyle w:val="ListParagraph"/>
        <w:numPr>
          <w:ilvl w:val="0"/>
          <w:numId w:val="4"/>
        </w:numPr>
        <w:spacing w:after="80"/>
        <w:jc w:val="both"/>
        <w:rPr>
          <w:sz w:val="32"/>
          <w:szCs w:val="32"/>
        </w:rPr>
      </w:pPr>
      <w:r w:rsidRPr="00F36C89">
        <w:rPr>
          <w:sz w:val="32"/>
          <w:szCs w:val="32"/>
        </w:rPr>
        <w:t>Obtain adult research mentorship, school-level permission, and an ethics or safeguarding determination appropriate to the inst</w:t>
      </w:r>
      <w:r w:rsidRPr="00F36C89">
        <w:rPr>
          <w:sz w:val="32"/>
          <w:szCs w:val="32"/>
        </w:rPr>
        <w:t>itution and jurisdiction before contacting students.</w:t>
      </w:r>
    </w:p>
    <w:p w:rsidR="00715923" w:rsidRPr="00F36C89" w:rsidRDefault="007E7FEE">
      <w:pPr>
        <w:pStyle w:val="ListParagraph"/>
        <w:numPr>
          <w:ilvl w:val="0"/>
          <w:numId w:val="4"/>
        </w:numPr>
        <w:spacing w:after="80"/>
        <w:jc w:val="both"/>
        <w:rPr>
          <w:sz w:val="32"/>
          <w:szCs w:val="32"/>
        </w:rPr>
      </w:pPr>
      <w:r w:rsidRPr="00F36C89">
        <w:rPr>
          <w:sz w:val="32"/>
          <w:szCs w:val="32"/>
        </w:rPr>
        <w:t>Provide schools with the protocol, survey, participant information sheet, guardian permission form, student assent form, data-management plan, and a plain-language explanation that participation will not affect grades.</w:t>
      </w:r>
    </w:p>
    <w:p w:rsidR="00715923" w:rsidRPr="00F36C89" w:rsidRDefault="007E7FEE">
      <w:pPr>
        <w:pStyle w:val="ListParagraph"/>
        <w:numPr>
          <w:ilvl w:val="0"/>
          <w:numId w:val="4"/>
        </w:numPr>
        <w:spacing w:after="80"/>
        <w:jc w:val="both"/>
        <w:rPr>
          <w:sz w:val="32"/>
          <w:szCs w:val="32"/>
        </w:rPr>
      </w:pPr>
      <w:r w:rsidRPr="00F36C89">
        <w:rPr>
          <w:sz w:val="32"/>
          <w:szCs w:val="32"/>
        </w:rPr>
        <w:t>Distribute guardian materials through</w:t>
      </w:r>
      <w:r w:rsidRPr="00F36C89">
        <w:rPr>
          <w:sz w:val="32"/>
          <w:szCs w:val="32"/>
        </w:rPr>
        <w:t xml:space="preserve"> the school using the approved consent model. Do not use assumed consent unless explicitly permitted by the responsible authority, and document how the model was chosen.</w:t>
      </w:r>
    </w:p>
    <w:p w:rsidR="00715923" w:rsidRPr="00F36C89" w:rsidRDefault="007E7FEE">
      <w:pPr>
        <w:pStyle w:val="ListParagraph"/>
        <w:numPr>
          <w:ilvl w:val="0"/>
          <w:numId w:val="4"/>
        </w:numPr>
        <w:spacing w:after="80"/>
        <w:jc w:val="both"/>
        <w:rPr>
          <w:sz w:val="32"/>
          <w:szCs w:val="32"/>
        </w:rPr>
      </w:pPr>
      <w:r w:rsidRPr="00F36C89">
        <w:rPr>
          <w:sz w:val="32"/>
          <w:szCs w:val="32"/>
        </w:rPr>
        <w:t>Administer the survey in a supervised setting or an approved secure online environment. Teachers should not hover over individual responses, and the student researcher should not collect names, roll numbers, personal emails, phone numbers, social-media han</w:t>
      </w:r>
      <w:r w:rsidRPr="00F36C89">
        <w:rPr>
          <w:sz w:val="32"/>
          <w:szCs w:val="32"/>
        </w:rPr>
        <w:t>dles, or account identifiers.</w:t>
      </w:r>
    </w:p>
    <w:p w:rsidR="00715923" w:rsidRPr="00F36C89" w:rsidRDefault="007E7FEE">
      <w:pPr>
        <w:pStyle w:val="ListParagraph"/>
        <w:numPr>
          <w:ilvl w:val="0"/>
          <w:numId w:val="4"/>
        </w:numPr>
        <w:spacing w:after="80"/>
        <w:jc w:val="both"/>
        <w:rPr>
          <w:sz w:val="32"/>
          <w:szCs w:val="32"/>
        </w:rPr>
      </w:pPr>
      <w:r w:rsidRPr="00F36C89">
        <w:rPr>
          <w:sz w:val="32"/>
          <w:szCs w:val="32"/>
        </w:rPr>
        <w:t>Present information and assent before the survey. Students may decline or skip any nonessential question without penalty. A low-engagement route must remain available for students who do not follow news.</w:t>
      </w:r>
    </w:p>
    <w:p w:rsidR="00715923" w:rsidRPr="00F36C89" w:rsidRDefault="007E7FEE">
      <w:pPr>
        <w:pStyle w:val="ListParagraph"/>
        <w:numPr>
          <w:ilvl w:val="0"/>
          <w:numId w:val="4"/>
        </w:numPr>
        <w:spacing w:after="80"/>
        <w:jc w:val="both"/>
        <w:rPr>
          <w:sz w:val="32"/>
          <w:szCs w:val="32"/>
        </w:rPr>
      </w:pPr>
      <w:r w:rsidRPr="00F36C89">
        <w:rPr>
          <w:sz w:val="32"/>
          <w:szCs w:val="32"/>
        </w:rPr>
        <w:t xml:space="preserve">Export the data to an </w:t>
      </w:r>
      <w:r w:rsidRPr="00F36C89">
        <w:rPr>
          <w:sz w:val="32"/>
          <w:szCs w:val="32"/>
        </w:rPr>
        <w:t>access-restricted, encrypted location; remove platform metadata not needed for analysis; create a processing copy with indirect identifiers minimised; and maintain a reproducible cleaning log.</w:t>
      </w:r>
    </w:p>
    <w:p w:rsidR="00715923" w:rsidRPr="00F36C89" w:rsidRDefault="007E7FEE">
      <w:pPr>
        <w:pStyle w:val="ListParagraph"/>
        <w:numPr>
          <w:ilvl w:val="0"/>
          <w:numId w:val="4"/>
        </w:numPr>
        <w:spacing w:after="80"/>
        <w:jc w:val="both"/>
        <w:rPr>
          <w:sz w:val="32"/>
          <w:szCs w:val="32"/>
        </w:rPr>
      </w:pPr>
      <w:r w:rsidRPr="00F36C89">
        <w:rPr>
          <w:sz w:val="32"/>
          <w:szCs w:val="32"/>
        </w:rPr>
        <w:t>Report the number of schools approached, schools participating,</w:t>
      </w:r>
      <w:r w:rsidRPr="00F36C89">
        <w:rPr>
          <w:sz w:val="32"/>
          <w:szCs w:val="32"/>
        </w:rPr>
        <w:t xml:space="preserve"> students eligible, permissions returned, assents provided, completed surveys, and exclusions, subject to disclosure-risk limits.</w:t>
      </w:r>
    </w:p>
    <w:p w:rsidR="00715923" w:rsidRPr="00F36C89" w:rsidRDefault="007E7FEE">
      <w:pPr>
        <w:keepNext/>
        <w:spacing w:before="200" w:after="80"/>
        <w:rPr>
          <w:sz w:val="32"/>
          <w:szCs w:val="32"/>
        </w:rPr>
      </w:pPr>
      <w:r w:rsidRPr="00F36C89">
        <w:rPr>
          <w:b/>
          <w:bCs/>
          <w:color w:val="1F3864"/>
          <w:sz w:val="28"/>
          <w:szCs w:val="28"/>
        </w:rPr>
        <w:t>Fig 4. Planned research workflow and evidence gate</w:t>
      </w:r>
    </w:p>
    <w:p w:rsidR="00715923" w:rsidRPr="00F36C89" w:rsidRDefault="007E7FEE">
      <w:pPr>
        <w:spacing w:after="200"/>
        <w:jc w:val="both"/>
        <w:rPr>
          <w:sz w:val="32"/>
          <w:szCs w:val="32"/>
        </w:rPr>
      </w:pPr>
      <w:r w:rsidRPr="00F36C89">
        <w:rPr>
          <w:color w:val="595959"/>
          <w:sz w:val="24"/>
          <w:szCs w:val="24"/>
        </w:rPr>
        <w:t>Note. Original workflow diagram developed for this protocol and supplied as</w:t>
      </w:r>
      <w:r w:rsidRPr="00F36C89">
        <w:rPr>
          <w:color w:val="595959"/>
          <w:sz w:val="24"/>
          <w:szCs w:val="24"/>
        </w:rPr>
        <w:t xml:space="preserve"> a separate figure file (Fig4).</w:t>
      </w:r>
    </w:p>
    <w:p w:rsidR="00715923" w:rsidRPr="00F36C89" w:rsidRDefault="007E7FEE">
      <w:pPr>
        <w:pStyle w:val="Heading2"/>
        <w:keepNext/>
        <w:spacing w:before="260" w:after="120"/>
        <w:rPr>
          <w:sz w:val="32"/>
          <w:szCs w:val="32"/>
        </w:rPr>
      </w:pPr>
      <w:r w:rsidRPr="00F36C89">
        <w:rPr>
          <w:b/>
          <w:bCs/>
          <w:color w:val="1F7A8C"/>
          <w:sz w:val="36"/>
          <w:szCs w:val="36"/>
        </w:rPr>
        <w:lastRenderedPageBreak/>
        <w:t>5.7 Ethical safeguards and data management</w:t>
      </w:r>
    </w:p>
    <w:p w:rsidR="00715923" w:rsidRPr="00F36C89" w:rsidRDefault="007E7FEE">
      <w:pPr>
        <w:spacing w:after="140"/>
        <w:jc w:val="both"/>
        <w:rPr>
          <w:sz w:val="32"/>
          <w:szCs w:val="32"/>
        </w:rPr>
      </w:pPr>
      <w:r w:rsidRPr="00F36C89">
        <w:rPr>
          <w:sz w:val="32"/>
          <w:szCs w:val="32"/>
        </w:rPr>
        <w:t>Participants are minors, so school permission, guardian permission where required, student assent, voluntariness, privacy, and minimisation of risk are non-negotiable. This manuscri</w:t>
      </w:r>
      <w:r w:rsidRPr="00F36C89">
        <w:rPr>
          <w:sz w:val="32"/>
          <w:szCs w:val="32"/>
        </w:rPr>
        <w:t>pt does not claim ethics approval. Data collection must not start until a responsible adult mentor and the participating institutions determine the appropriate ethics or institutional-review route and approve the materials, consistent with national researc</w:t>
      </w:r>
      <w:r w:rsidRPr="00F36C89">
        <w:rPr>
          <w:sz w:val="32"/>
          <w:szCs w:val="32"/>
        </w:rPr>
        <w:t>h-ethics guidance and with established principles for ethical research involving children [78,79]. If an institutional review board or ethics committee is unavailable, this absence does not justify informal recruitment; the researcher should work through t</w:t>
      </w:r>
      <w:r w:rsidRPr="00F36C89">
        <w:rPr>
          <w:sz w:val="32"/>
          <w:szCs w:val="32"/>
        </w:rPr>
        <w:t>he school's authorised safeguarding and research processes and document the decision pathway.</w:t>
      </w:r>
    </w:p>
    <w:p w:rsidR="00715923" w:rsidRPr="00F36C89" w:rsidRDefault="007E7FEE">
      <w:pPr>
        <w:spacing w:after="140"/>
        <w:jc w:val="both"/>
        <w:rPr>
          <w:sz w:val="32"/>
          <w:szCs w:val="32"/>
        </w:rPr>
      </w:pPr>
      <w:r w:rsidRPr="00F36C89">
        <w:rPr>
          <w:sz w:val="32"/>
          <w:szCs w:val="32"/>
        </w:rPr>
        <w:t>Indian data-protection expectations are directly relevant because every participant is legally a child. The Digital Personal Data Protection Act 2023 and the Rule</w:t>
      </w:r>
      <w:r w:rsidRPr="00F36C89">
        <w:rPr>
          <w:sz w:val="32"/>
          <w:szCs w:val="32"/>
        </w:rPr>
        <w:t>s notified in November 2025 require verifiable parental consent for processing children's personal data and restrict tracking, behavioural monitoring, and targeted advertising directed at children [20,21]. The most defensible response for a student-led pro</w:t>
      </w:r>
      <w:r w:rsidRPr="00F36C89">
        <w:rPr>
          <w:sz w:val="32"/>
          <w:szCs w:val="32"/>
        </w:rPr>
        <w:t>ject is to avoid processing personal data wherever possible: the survey should collect no direct identifiers, no account information, and no free-text field that invites them. Where a school requires a hosted survey platform, the platform's data-collection</w:t>
      </w:r>
      <w:r w:rsidRPr="00F36C89">
        <w:rPr>
          <w:sz w:val="32"/>
          <w:szCs w:val="32"/>
        </w:rPr>
        <w:t xml:space="preserve"> settings must be reviewed and unnecessary metadata capture disabled before administration, and the review must be documented.</w:t>
      </w:r>
    </w:p>
    <w:p w:rsidR="00715923" w:rsidRPr="00F36C89" w:rsidRDefault="007E7FEE">
      <w:pPr>
        <w:spacing w:after="140"/>
        <w:jc w:val="both"/>
        <w:rPr>
          <w:sz w:val="32"/>
          <w:szCs w:val="32"/>
        </w:rPr>
      </w:pPr>
      <w:r w:rsidRPr="00F36C89">
        <w:rPr>
          <w:sz w:val="32"/>
          <w:szCs w:val="32"/>
        </w:rPr>
        <w:t>The survey is designed to avoid direct identifiers. Age is collected in bands, location is coded broadly, and school identity sho</w:t>
      </w:r>
      <w:r w:rsidRPr="00F36C89">
        <w:rPr>
          <w:sz w:val="32"/>
          <w:szCs w:val="32"/>
        </w:rPr>
        <w:t xml:space="preserve">uld be replaced by a study code in the analytic file. Combination-based disclosure risk must still be considered: a rare combination of school, grade, language, and demographic characteristics can identify a student even without a name. Small cells should </w:t>
      </w:r>
      <w:r w:rsidRPr="00F36C89">
        <w:rPr>
          <w:sz w:val="32"/>
          <w:szCs w:val="32"/>
        </w:rPr>
        <w:t>be suppressed or combined in public tables. Open-ended responses must be checked for names and other identifying details before quotation. Direct quotations should be used only with approval and should be lightly de-identified without changing meaning.</w:t>
      </w:r>
    </w:p>
    <w:p w:rsidR="00715923" w:rsidRPr="00F36C89" w:rsidRDefault="007E7FEE">
      <w:pPr>
        <w:spacing w:after="140"/>
        <w:jc w:val="both"/>
        <w:rPr>
          <w:sz w:val="32"/>
          <w:szCs w:val="32"/>
        </w:rPr>
      </w:pPr>
      <w:r w:rsidRPr="00F36C89">
        <w:rPr>
          <w:sz w:val="32"/>
          <w:szCs w:val="32"/>
        </w:rPr>
        <w:lastRenderedPageBreak/>
        <w:t>The</w:t>
      </w:r>
      <w:r w:rsidRPr="00F36C89">
        <w:rPr>
          <w:sz w:val="32"/>
          <w:szCs w:val="32"/>
        </w:rPr>
        <w:t xml:space="preserve"> data-management plan should specify where data are stored, who has access, how transfers occur, how long raw and processed data are retained, and when they are securely deleted. A practical plan is to restrict access to the student researcher and named ad</w:t>
      </w:r>
      <w:r w:rsidRPr="00F36C89">
        <w:rPr>
          <w:sz w:val="32"/>
          <w:szCs w:val="32"/>
        </w:rPr>
        <w:t>ult mentor; store data in encrypted, password-protected institutional or family-approved storage; keep consent records separate from anonymous survey data; retain de-identified analysis data only for the period needed for assessment or publication; and del</w:t>
      </w:r>
      <w:r w:rsidRPr="00F36C89">
        <w:rPr>
          <w:sz w:val="32"/>
          <w:szCs w:val="32"/>
        </w:rPr>
        <w:t>ete identifiable administrative records according to school or ethics requirements. Exact dates must be inserted before recruitment.</w:t>
      </w:r>
    </w:p>
    <w:p w:rsidR="00715923" w:rsidRPr="00F36C89" w:rsidRDefault="007E7FEE">
      <w:pPr>
        <w:spacing w:after="140"/>
        <w:jc w:val="both"/>
        <w:rPr>
          <w:sz w:val="32"/>
          <w:szCs w:val="32"/>
        </w:rPr>
      </w:pPr>
      <w:r w:rsidRPr="00F36C89">
        <w:rPr>
          <w:sz w:val="32"/>
          <w:szCs w:val="32"/>
        </w:rPr>
        <w:t xml:space="preserve">The questionnaire asks about practices, not confessions. It does not ask students to paste message threads, reveal account </w:t>
      </w:r>
      <w:r w:rsidRPr="00F36C89">
        <w:rPr>
          <w:sz w:val="32"/>
          <w:szCs w:val="32"/>
        </w:rPr>
        <w:t>details, identify who sent them a particular forward, name teachers, or describe punishable incidents. Political items are excluded: the study measures how students evaluate claims, not what they believe about parties, leaders, communities, or contested ev</w:t>
      </w:r>
      <w:r w:rsidRPr="00F36C89">
        <w:rPr>
          <w:sz w:val="32"/>
          <w:szCs w:val="32"/>
        </w:rPr>
        <w:t>ents, and headline items are screened to avoid communal, electoral, and other sensitive framing. Wording emphasises that there are no grade consequences and that honest responses, including low news engagement, are useful. If a student discloses distress o</w:t>
      </w:r>
      <w:r w:rsidRPr="00F36C89">
        <w:rPr>
          <w:sz w:val="32"/>
          <w:szCs w:val="32"/>
        </w:rPr>
        <w:t>r asks for help about harmful content during administration, the researcher should follow the school's existing safeguarding route rather than attempting to investigate or counsel the student independently.</w:t>
      </w:r>
    </w:p>
    <w:p w:rsidR="00715923" w:rsidRPr="00F36C89" w:rsidRDefault="007E7FEE">
      <w:pPr>
        <w:pStyle w:val="Heading2"/>
        <w:keepNext/>
        <w:spacing w:before="260" w:after="120"/>
        <w:rPr>
          <w:sz w:val="32"/>
          <w:szCs w:val="32"/>
        </w:rPr>
      </w:pPr>
      <w:r w:rsidRPr="00F36C89">
        <w:rPr>
          <w:b/>
          <w:bCs/>
          <w:color w:val="1F7A8C"/>
          <w:sz w:val="36"/>
          <w:szCs w:val="36"/>
        </w:rPr>
        <w:t>5.8 Variable scoring and data-quality rules</w:t>
      </w:r>
    </w:p>
    <w:p w:rsidR="00715923" w:rsidRPr="00F36C89" w:rsidRDefault="007E7FEE">
      <w:pPr>
        <w:spacing w:after="140"/>
        <w:jc w:val="both"/>
        <w:rPr>
          <w:sz w:val="32"/>
          <w:szCs w:val="32"/>
        </w:rPr>
      </w:pPr>
      <w:r w:rsidRPr="00F36C89">
        <w:rPr>
          <w:sz w:val="32"/>
          <w:szCs w:val="32"/>
        </w:rPr>
        <w:t>Scori</w:t>
      </w:r>
      <w:r w:rsidRPr="00F36C89">
        <w:rPr>
          <w:sz w:val="32"/>
          <w:szCs w:val="32"/>
        </w:rPr>
        <w:t>ng decisions will be finalised after pilot revision and frozen in a dated analysis protocol before the main outcome models are run. Objective items will be coded 1 for the keyed response and 0 otherwise; 'not sure' will be treated as incorrect for knowledg</w:t>
      </w:r>
      <w:r w:rsidRPr="00F36C89">
        <w:rPr>
          <w:sz w:val="32"/>
          <w:szCs w:val="32"/>
        </w:rPr>
        <w:t xml:space="preserve">e scoring but retained as a distinct response in item-level tables. Likert items will retain their ordered 1–5 values. Negatively worded items, if retained after cognitive testing, will be reverse-coded so that higher values consistently indicate stronger </w:t>
      </w:r>
      <w:r w:rsidRPr="00F36C89">
        <w:rPr>
          <w:sz w:val="32"/>
          <w:szCs w:val="32"/>
        </w:rPr>
        <w:t>awareness, evaluation, or responsibility. Appendix E provides the preliminary codebook.</w:t>
      </w:r>
    </w:p>
    <w:p w:rsidR="00715923" w:rsidRPr="00F36C89" w:rsidRDefault="007E7FEE">
      <w:pPr>
        <w:spacing w:after="140"/>
        <w:jc w:val="both"/>
        <w:rPr>
          <w:sz w:val="32"/>
          <w:szCs w:val="32"/>
        </w:rPr>
      </w:pPr>
      <w:r w:rsidRPr="00F36C89">
        <w:rPr>
          <w:sz w:val="32"/>
          <w:szCs w:val="32"/>
        </w:rPr>
        <w:t>The headline task will be scored following the logic of validated veracity-discernment measures [48]. Three indices will be reported: discernment, defined as the differ</w:t>
      </w:r>
      <w:r w:rsidRPr="00F36C89">
        <w:rPr>
          <w:sz w:val="32"/>
          <w:szCs w:val="32"/>
        </w:rPr>
        <w:t xml:space="preserve">ence between accuracy on true items </w:t>
      </w:r>
      <w:r w:rsidRPr="00F36C89">
        <w:rPr>
          <w:sz w:val="32"/>
          <w:szCs w:val="32"/>
        </w:rPr>
        <w:lastRenderedPageBreak/>
        <w:t>and errors on false items; real-news detection; and false-news detection. A directional bias index will be reported alongside them so that a respondent who rejects every headline is not credited with skill. A confidence-</w:t>
      </w:r>
      <w:r w:rsidRPr="00F36C89">
        <w:rPr>
          <w:sz w:val="32"/>
          <w:szCs w:val="32"/>
        </w:rPr>
        <w:t>accuracy gap will be computed as the standardised difference between self-rated judgement ability and measured discernment, and reported descriptively before any inferential use.</w:t>
      </w:r>
    </w:p>
    <w:p w:rsidR="00715923" w:rsidRPr="00F36C89" w:rsidRDefault="007E7FEE">
      <w:pPr>
        <w:spacing w:after="140"/>
        <w:jc w:val="both"/>
        <w:rPr>
          <w:sz w:val="32"/>
          <w:szCs w:val="32"/>
        </w:rPr>
      </w:pPr>
      <w:r w:rsidRPr="00F36C89">
        <w:rPr>
          <w:sz w:val="32"/>
          <w:szCs w:val="32"/>
        </w:rPr>
        <w:t>Scale scores will be calculated only when a respondent answers a prespecified</w:t>
      </w:r>
      <w:r w:rsidRPr="00F36C89">
        <w:rPr>
          <w:sz w:val="32"/>
          <w:szCs w:val="32"/>
        </w:rPr>
        <w:t xml:space="preserve"> proportion of items, provisionally at least 80%. If that threshold is met, the mean of completed items can preserve the original response metric; otherwise the scale score will be missing. Scenario items will be scored separately and combined only if they</w:t>
      </w:r>
      <w:r w:rsidRPr="00F36C89">
        <w:rPr>
          <w:sz w:val="32"/>
          <w:szCs w:val="32"/>
        </w:rPr>
        <w:t xml:space="preserve"> measure a coherent evaluation construct. A single global algorithmic news literacy score will not be reported by default. It will be considered only if higher-order structure and interpretability are supported; dimension profiles are likely to be more edu</w:t>
      </w:r>
      <w:r w:rsidRPr="00F36C89">
        <w:rPr>
          <w:sz w:val="32"/>
          <w:szCs w:val="32"/>
        </w:rPr>
        <w:t>cationally useful.</w:t>
      </w:r>
    </w:p>
    <w:p w:rsidR="00715923" w:rsidRPr="00F36C89" w:rsidRDefault="007E7FEE">
      <w:pPr>
        <w:spacing w:after="140"/>
        <w:jc w:val="both"/>
        <w:rPr>
          <w:sz w:val="32"/>
          <w:szCs w:val="32"/>
        </w:rPr>
      </w:pPr>
      <w:r w:rsidRPr="00F36C89">
        <w:rPr>
          <w:sz w:val="32"/>
          <w:szCs w:val="32"/>
        </w:rPr>
        <w:t>Quality checks include range checks, internal skip-logic checks, duplicate review using non-identifying technical patterns approved in advance, completion-time flags derived from the pilot, and a single transparent attention check. A fla</w:t>
      </w:r>
      <w:r w:rsidRPr="00F36C89">
        <w:rPr>
          <w:sz w:val="32"/>
          <w:szCs w:val="32"/>
        </w:rPr>
        <w:t>gged survey is not automatically invalid. Exclusion requires a prespecified combination of evidence, and sensitivity analyses will compare results with and without borderline cases. Outliers in legitimate responses will not be removed merely because they a</w:t>
      </w:r>
      <w:r w:rsidRPr="00F36C89">
        <w:rPr>
          <w:sz w:val="32"/>
          <w:szCs w:val="32"/>
        </w:rPr>
        <w:t>ffect results.</w:t>
      </w:r>
    </w:p>
    <w:p w:rsidR="00715923" w:rsidRPr="00F36C89" w:rsidRDefault="007E7FEE">
      <w:pPr>
        <w:pStyle w:val="Heading2"/>
        <w:keepNext/>
        <w:spacing w:before="260" w:after="120"/>
        <w:rPr>
          <w:sz w:val="32"/>
          <w:szCs w:val="32"/>
        </w:rPr>
      </w:pPr>
      <w:r w:rsidRPr="00F36C89">
        <w:rPr>
          <w:b/>
          <w:bCs/>
          <w:color w:val="1F7A8C"/>
          <w:sz w:val="36"/>
          <w:szCs w:val="36"/>
        </w:rPr>
        <w:t>5.9 Data-analysis plan</w:t>
      </w:r>
    </w:p>
    <w:p w:rsidR="00715923" w:rsidRPr="00F36C89" w:rsidRDefault="007E7FEE">
      <w:pPr>
        <w:spacing w:after="140"/>
        <w:jc w:val="both"/>
        <w:rPr>
          <w:sz w:val="32"/>
          <w:szCs w:val="32"/>
        </w:rPr>
      </w:pPr>
      <w:r w:rsidRPr="00F36C89">
        <w:rPr>
          <w:sz w:val="32"/>
          <w:szCs w:val="32"/>
        </w:rPr>
        <w:t>Analysis will begin with a reproducible flow diagram and a table comparing available characteristics of included and excluded surveys. Descriptive statistics will report counts, percentages, means and standard deviatio</w:t>
      </w:r>
      <w:r w:rsidRPr="00F36C89">
        <w:rPr>
          <w:sz w:val="32"/>
          <w:szCs w:val="32"/>
        </w:rPr>
        <w:t>ns when distributions justify them, and medians and interquartile ranges otherwise. All estimates will include confidence intervals where meaningful. Exposure categories, headline items, and risk items will be shown individually to avoid concealing importa</w:t>
      </w:r>
      <w:r w:rsidRPr="00F36C89">
        <w:rPr>
          <w:sz w:val="32"/>
          <w:szCs w:val="32"/>
        </w:rPr>
        <w:t>nt patterns within a total score.</w:t>
      </w:r>
    </w:p>
    <w:p w:rsidR="00715923" w:rsidRPr="00F36C89" w:rsidRDefault="007E7FEE">
      <w:pPr>
        <w:spacing w:after="140"/>
        <w:jc w:val="both"/>
        <w:rPr>
          <w:sz w:val="32"/>
          <w:szCs w:val="32"/>
        </w:rPr>
      </w:pPr>
      <w:r w:rsidRPr="00F36C89">
        <w:rPr>
          <w:sz w:val="32"/>
          <w:szCs w:val="32"/>
        </w:rPr>
        <w:t xml:space="preserve">Psychometric analysis precedes substantive group comparisons. Objective-item and headline-item difficulty and discrimination will be examined. Candidate Likert scales will be assessed for dimensionality </w:t>
      </w:r>
      <w:r w:rsidRPr="00F36C89">
        <w:rPr>
          <w:sz w:val="32"/>
          <w:szCs w:val="32"/>
        </w:rPr>
        <w:lastRenderedPageBreak/>
        <w:t>and internal consis</w:t>
      </w:r>
      <w:r w:rsidRPr="00F36C89">
        <w:rPr>
          <w:sz w:val="32"/>
          <w:szCs w:val="32"/>
        </w:rPr>
        <w:t>tency. If a scale is revised after examining the main sample, the change will be labelled exploratory and cross-validation or sensitivity analysis will be considered. Measurement invariance across class or language will be tested only if subgroup sizes and</w:t>
      </w:r>
      <w:r w:rsidRPr="00F36C89">
        <w:rPr>
          <w:sz w:val="32"/>
          <w:szCs w:val="32"/>
        </w:rPr>
        <w:t xml:space="preserve"> model quality are sufficient [80]; otherwise group comparisons will be framed cautiously at the item or observed-score level.</w:t>
      </w:r>
    </w:p>
    <w:p w:rsidR="00715923" w:rsidRPr="00F36C89" w:rsidRDefault="007E7FEE">
      <w:pPr>
        <w:spacing w:after="140"/>
        <w:jc w:val="both"/>
        <w:rPr>
          <w:sz w:val="32"/>
          <w:szCs w:val="32"/>
        </w:rPr>
      </w:pPr>
      <w:r w:rsidRPr="00F36C89">
        <w:rPr>
          <w:sz w:val="32"/>
          <w:szCs w:val="32"/>
        </w:rPr>
        <w:t>Bivariate analyses will use chi-square tests for categorical variables, t tests or analysis of variance for approximately continu</w:t>
      </w:r>
      <w:r w:rsidRPr="00F36C89">
        <w:rPr>
          <w:sz w:val="32"/>
          <w:szCs w:val="32"/>
        </w:rPr>
        <w:t>ous scores when assumptions are reasonable, and nonparametric alternatives when they are not. Effect sizes such as Cramér's V, standardised mean differences, rank-biserial correlations, or eta squared will accompany p values. Spearman or Pearson correlatio</w:t>
      </w:r>
      <w:r w:rsidRPr="00F36C89">
        <w:rPr>
          <w:sz w:val="32"/>
          <w:szCs w:val="32"/>
        </w:rPr>
        <w:t>ns will be chosen based on measurement and distribution. Multiple testing within families of subgroup comparisons will be controlled using the Benjamini–Hochberg false-discovery-rate procedure [81], while primary hypotheses will remain clearly distinguishe</w:t>
      </w:r>
      <w:r w:rsidRPr="00F36C89">
        <w:rPr>
          <w:sz w:val="32"/>
          <w:szCs w:val="32"/>
        </w:rPr>
        <w:t>d from exploratory analyses.</w:t>
      </w:r>
    </w:p>
    <w:p w:rsidR="00715923" w:rsidRPr="00F36C89" w:rsidRDefault="007E7FEE">
      <w:pPr>
        <w:spacing w:after="140"/>
        <w:jc w:val="both"/>
        <w:rPr>
          <w:sz w:val="32"/>
          <w:szCs w:val="32"/>
        </w:rPr>
      </w:pPr>
      <w:r w:rsidRPr="00F36C89">
        <w:rPr>
          <w:sz w:val="32"/>
          <w:szCs w:val="32"/>
        </w:rPr>
        <w:t>For source-evaluation performance, misinformation discernment, and responsible sharing behaviour, hierarchical regression models will enter contextual variables first (grade, school type, location, language, device access, prio</w:t>
      </w:r>
      <w:r w:rsidRPr="00F36C89">
        <w:rPr>
          <w:sz w:val="32"/>
          <w:szCs w:val="32"/>
        </w:rPr>
        <w:t>r instruction), followed by exposure and literacy variables. Generalised or ordinal models will be used if outcome distributions require them. Because students are nested within schools, cluster-robust standard errors or multilevel models will be used when</w:t>
      </w:r>
      <w:r w:rsidRPr="00F36C89">
        <w:rPr>
          <w:sz w:val="32"/>
          <w:szCs w:val="32"/>
        </w:rPr>
        <w:t xml:space="preserve"> the number and distribution of schools permit [82]; with too few clusters, the limitation will be stated and school fixed effects or conservative descriptive comparisons considered [83]. Complex mediation or moderation will not be attempted if the achieve</w:t>
      </w:r>
      <w:r w:rsidRPr="00F36C89">
        <w:rPr>
          <w:sz w:val="32"/>
          <w:szCs w:val="32"/>
        </w:rPr>
        <w:t>d sample is inadequate.</w:t>
      </w:r>
    </w:p>
    <w:p w:rsidR="00715923" w:rsidRPr="00F36C89" w:rsidRDefault="007E7FEE">
      <w:pPr>
        <w:spacing w:after="140"/>
        <w:jc w:val="both"/>
        <w:rPr>
          <w:sz w:val="32"/>
          <w:szCs w:val="32"/>
        </w:rPr>
      </w:pPr>
      <w:r w:rsidRPr="00F36C89">
        <w:rPr>
          <w:sz w:val="32"/>
          <w:szCs w:val="32"/>
        </w:rPr>
        <w:t>Missing data will be described by item and subgroup. If missingness is minimal, complete-case analysis may be acceptable for a given model. If it is substantial and plausibly compatible with missing at random, multiple imputation ma</w:t>
      </w:r>
      <w:r w:rsidRPr="00F36C89">
        <w:rPr>
          <w:sz w:val="32"/>
          <w:szCs w:val="32"/>
        </w:rPr>
        <w:t xml:space="preserve">y be used for covariates and scale items, with the imputation model documented [84]. Outcomes will not be imputed without strong justification. Sensitivity analyses will compare complete-case and imputed estimates. Statistical software, package </w:t>
      </w:r>
      <w:r w:rsidRPr="00F36C89">
        <w:rPr>
          <w:sz w:val="32"/>
          <w:szCs w:val="32"/>
        </w:rPr>
        <w:lastRenderedPageBreak/>
        <w:t>versions, c</w:t>
      </w:r>
      <w:r w:rsidRPr="00F36C89">
        <w:rPr>
          <w:sz w:val="32"/>
          <w:szCs w:val="32"/>
        </w:rPr>
        <w:t>ode, scoring rules, and deviations from the plan will be archived with the project where permissions allow.</w:t>
      </w:r>
    </w:p>
    <w:p w:rsidR="00715923" w:rsidRPr="00F36C89" w:rsidRDefault="007E7FEE">
      <w:pPr>
        <w:spacing w:after="140"/>
        <w:jc w:val="both"/>
        <w:rPr>
          <w:sz w:val="32"/>
          <w:szCs w:val="32"/>
        </w:rPr>
      </w:pPr>
      <w:r w:rsidRPr="00F36C89">
        <w:rPr>
          <w:sz w:val="32"/>
          <w:szCs w:val="32"/>
        </w:rPr>
        <w:t>Optional open-ended responses will undergo a concise qualitative content analysis [85]. An initial deductive frame will include civic benefit, accur</w:t>
      </w:r>
      <w:r w:rsidRPr="00F36C89">
        <w:rPr>
          <w:sz w:val="32"/>
          <w:szCs w:val="32"/>
        </w:rPr>
        <w:t>acy and verification, personalisation and platform design, privacy and data use, manipulated or synthetic media, sharing and social pressure, access, and requested school support. New categories may be added inductively. A second coder should independently</w:t>
      </w:r>
      <w:r w:rsidRPr="00F36C89">
        <w:rPr>
          <w:sz w:val="32"/>
          <w:szCs w:val="32"/>
        </w:rPr>
        <w:t xml:space="preserve"> code a subset if feasible; disagreements will be discussed and the codebook revised. Counts will describe code prevalence, but short student comments will not be treated as representative narratives. Quotations, if approved, will be de-identified and used</w:t>
      </w:r>
      <w:r w:rsidRPr="00F36C89">
        <w:rPr>
          <w:sz w:val="32"/>
          <w:szCs w:val="32"/>
        </w:rPr>
        <w:t xml:space="preserve"> sparingly.</w:t>
      </w:r>
    </w:p>
    <w:p w:rsidR="00715923" w:rsidRPr="00F36C89" w:rsidRDefault="007E7FEE">
      <w:pPr>
        <w:keepNext/>
        <w:spacing w:before="200" w:after="80"/>
        <w:rPr>
          <w:sz w:val="32"/>
          <w:szCs w:val="32"/>
        </w:rPr>
      </w:pPr>
      <w:r w:rsidRPr="00F36C89">
        <w:rPr>
          <w:b/>
          <w:bCs/>
          <w:color w:val="1F3864"/>
          <w:sz w:val="28"/>
          <w:szCs w:val="28"/>
        </w:rPr>
        <w:t>Table 3. Prespecified analysis matrix</w:t>
      </w:r>
    </w:p>
    <w:tbl>
      <w:tblPr>
        <w:tblW w:w="9000" w:type="dxa"/>
        <w:tblBorders>
          <w:top w:val="single" w:sz="4" w:space="0" w:color="BFC9D6"/>
          <w:left w:val="single" w:sz="4" w:space="0" w:color="BFC9D6"/>
          <w:bottom w:val="single" w:sz="4" w:space="0" w:color="BFC9D6"/>
          <w:right w:val="single" w:sz="4" w:space="0" w:color="BFC9D6"/>
          <w:insideH w:val="single" w:sz="4" w:space="0" w:color="BFC9D6"/>
          <w:insideV w:val="single" w:sz="4" w:space="0" w:color="BFC9D6"/>
        </w:tblBorders>
        <w:tblCellMar>
          <w:left w:w="10" w:type="dxa"/>
          <w:right w:w="10" w:type="dxa"/>
        </w:tblCellMar>
        <w:tblLook w:val="04A0" w:firstRow="1" w:lastRow="0" w:firstColumn="1" w:lastColumn="0" w:noHBand="0" w:noVBand="1"/>
      </w:tblPr>
      <w:tblGrid>
        <w:gridCol w:w="1121"/>
        <w:gridCol w:w="2990"/>
        <w:gridCol w:w="3190"/>
        <w:gridCol w:w="1699"/>
      </w:tblGrid>
      <w:tr w:rsidR="00715923" w:rsidRPr="00F36C89">
        <w:tblPrEx>
          <w:tblCellMar>
            <w:top w:w="0" w:type="dxa"/>
            <w:bottom w:w="0" w:type="dxa"/>
          </w:tblCellMar>
        </w:tblPrEx>
        <w:trPr>
          <w:tblHeader/>
        </w:trPr>
        <w:tc>
          <w:tcPr>
            <w:tcW w:w="1100" w:type="dxa"/>
            <w:shd w:val="clear" w:color="auto" w:fill="1F3864"/>
            <w:tcMar>
              <w:top w:w="70" w:type="dxa"/>
              <w:left w:w="100" w:type="dxa"/>
              <w:bottom w:w="70" w:type="dxa"/>
              <w:right w:w="100" w:type="dxa"/>
            </w:tcMar>
          </w:tcPr>
          <w:p w:rsidR="00715923" w:rsidRPr="00F36C89" w:rsidRDefault="007E7FEE">
            <w:pPr>
              <w:rPr>
                <w:sz w:val="32"/>
                <w:szCs w:val="32"/>
              </w:rPr>
            </w:pPr>
            <w:r w:rsidRPr="00F36C89">
              <w:rPr>
                <w:b/>
                <w:bCs/>
                <w:color w:val="FFFFFF"/>
                <w:sz w:val="24"/>
                <w:szCs w:val="24"/>
              </w:rPr>
              <w:t>Question</w:t>
            </w:r>
          </w:p>
        </w:tc>
        <w:tc>
          <w:tcPr>
            <w:tcW w:w="3000" w:type="dxa"/>
            <w:shd w:val="clear" w:color="auto" w:fill="1F3864"/>
            <w:tcMar>
              <w:top w:w="70" w:type="dxa"/>
              <w:left w:w="100" w:type="dxa"/>
              <w:bottom w:w="70" w:type="dxa"/>
              <w:right w:w="100" w:type="dxa"/>
            </w:tcMar>
          </w:tcPr>
          <w:p w:rsidR="00715923" w:rsidRPr="00F36C89" w:rsidRDefault="007E7FEE">
            <w:pPr>
              <w:rPr>
                <w:sz w:val="32"/>
                <w:szCs w:val="32"/>
              </w:rPr>
            </w:pPr>
            <w:r w:rsidRPr="00F36C89">
              <w:rPr>
                <w:b/>
                <w:bCs/>
                <w:color w:val="FFFFFF"/>
                <w:sz w:val="24"/>
                <w:szCs w:val="24"/>
              </w:rPr>
              <w:t>Variables</w:t>
            </w:r>
          </w:p>
        </w:tc>
        <w:tc>
          <w:tcPr>
            <w:tcW w:w="3200" w:type="dxa"/>
            <w:shd w:val="clear" w:color="auto" w:fill="1F3864"/>
            <w:tcMar>
              <w:top w:w="70" w:type="dxa"/>
              <w:left w:w="100" w:type="dxa"/>
              <w:bottom w:w="70" w:type="dxa"/>
              <w:right w:w="100" w:type="dxa"/>
            </w:tcMar>
          </w:tcPr>
          <w:p w:rsidR="00715923" w:rsidRPr="00F36C89" w:rsidRDefault="007E7FEE">
            <w:pPr>
              <w:rPr>
                <w:sz w:val="32"/>
                <w:szCs w:val="32"/>
              </w:rPr>
            </w:pPr>
            <w:r w:rsidRPr="00F36C89">
              <w:rPr>
                <w:b/>
                <w:bCs/>
                <w:color w:val="FFFFFF"/>
                <w:sz w:val="24"/>
                <w:szCs w:val="24"/>
              </w:rPr>
              <w:t>Primary analysis</w:t>
            </w:r>
          </w:p>
        </w:tc>
        <w:tc>
          <w:tcPr>
            <w:tcW w:w="1700" w:type="dxa"/>
            <w:shd w:val="clear" w:color="auto" w:fill="1F3864"/>
            <w:tcMar>
              <w:top w:w="70" w:type="dxa"/>
              <w:left w:w="100" w:type="dxa"/>
              <w:bottom w:w="70" w:type="dxa"/>
              <w:right w:w="100" w:type="dxa"/>
            </w:tcMar>
          </w:tcPr>
          <w:p w:rsidR="00715923" w:rsidRPr="00F36C89" w:rsidRDefault="007E7FEE">
            <w:pPr>
              <w:rPr>
                <w:sz w:val="32"/>
                <w:szCs w:val="32"/>
              </w:rPr>
            </w:pPr>
            <w:r w:rsidRPr="00F36C89">
              <w:rPr>
                <w:b/>
                <w:bCs/>
                <w:color w:val="FFFFFF"/>
                <w:sz w:val="24"/>
                <w:szCs w:val="24"/>
              </w:rPr>
              <w:t>Safeguard</w:t>
            </w:r>
          </w:p>
        </w:tc>
      </w:tr>
      <w:tr w:rsidR="00715923" w:rsidRPr="00F36C89">
        <w:tblPrEx>
          <w:tblCellMar>
            <w:top w:w="0" w:type="dxa"/>
            <w:bottom w:w="0" w:type="dxa"/>
          </w:tblCellMar>
        </w:tblPrEx>
        <w:tc>
          <w:tcPr>
            <w:tcW w:w="1100" w:type="dxa"/>
            <w:tcMar>
              <w:top w:w="70" w:type="dxa"/>
              <w:left w:w="100" w:type="dxa"/>
              <w:bottom w:w="70" w:type="dxa"/>
              <w:right w:w="100" w:type="dxa"/>
            </w:tcMar>
          </w:tcPr>
          <w:p w:rsidR="00715923" w:rsidRPr="00F36C89" w:rsidRDefault="007E7FEE">
            <w:pPr>
              <w:rPr>
                <w:sz w:val="32"/>
                <w:szCs w:val="32"/>
              </w:rPr>
            </w:pPr>
            <w:r w:rsidRPr="00F36C89">
              <w:rPr>
                <w:sz w:val="24"/>
                <w:szCs w:val="24"/>
              </w:rPr>
              <w:t>RQ1</w:t>
            </w:r>
          </w:p>
        </w:tc>
        <w:tc>
          <w:tcPr>
            <w:tcW w:w="3000" w:type="dxa"/>
            <w:tcMar>
              <w:top w:w="70" w:type="dxa"/>
              <w:left w:w="100" w:type="dxa"/>
              <w:bottom w:w="70" w:type="dxa"/>
              <w:right w:w="100" w:type="dxa"/>
            </w:tcMar>
          </w:tcPr>
          <w:p w:rsidR="00715923" w:rsidRPr="00F36C89" w:rsidRDefault="007E7FEE">
            <w:pPr>
              <w:rPr>
                <w:sz w:val="32"/>
                <w:szCs w:val="32"/>
              </w:rPr>
            </w:pPr>
            <w:r w:rsidRPr="00F36C89">
              <w:rPr>
                <w:sz w:val="24"/>
                <w:szCs w:val="24"/>
              </w:rPr>
              <w:t>Exposure, access, platforms, purposes, instruction</w:t>
            </w:r>
          </w:p>
        </w:tc>
        <w:tc>
          <w:tcPr>
            <w:tcW w:w="3200" w:type="dxa"/>
            <w:tcMar>
              <w:top w:w="70" w:type="dxa"/>
              <w:left w:w="100" w:type="dxa"/>
              <w:bottom w:w="70" w:type="dxa"/>
              <w:right w:w="100" w:type="dxa"/>
            </w:tcMar>
          </w:tcPr>
          <w:p w:rsidR="00715923" w:rsidRPr="00F36C89" w:rsidRDefault="007E7FEE">
            <w:pPr>
              <w:rPr>
                <w:sz w:val="32"/>
                <w:szCs w:val="32"/>
              </w:rPr>
            </w:pPr>
            <w:r w:rsidRPr="00F36C89">
              <w:rPr>
                <w:sz w:val="24"/>
                <w:szCs w:val="24"/>
              </w:rPr>
              <w:t>Frequencies, cross-tabulations, confidence intervals</w:t>
            </w:r>
          </w:p>
        </w:tc>
        <w:tc>
          <w:tcPr>
            <w:tcW w:w="1700" w:type="dxa"/>
            <w:tcMar>
              <w:top w:w="70" w:type="dxa"/>
              <w:left w:w="100" w:type="dxa"/>
              <w:bottom w:w="70" w:type="dxa"/>
              <w:right w:w="100" w:type="dxa"/>
            </w:tcMar>
          </w:tcPr>
          <w:p w:rsidR="00715923" w:rsidRPr="00F36C89" w:rsidRDefault="007E7FEE">
            <w:pPr>
              <w:rPr>
                <w:sz w:val="32"/>
                <w:szCs w:val="32"/>
              </w:rPr>
            </w:pPr>
            <w:r w:rsidRPr="00F36C89">
              <w:rPr>
                <w:sz w:val="24"/>
                <w:szCs w:val="24"/>
              </w:rPr>
              <w:t>None; descriptive</w:t>
            </w:r>
          </w:p>
        </w:tc>
      </w:tr>
      <w:tr w:rsidR="00715923" w:rsidRPr="00F36C89">
        <w:tblPrEx>
          <w:tblCellMar>
            <w:top w:w="0" w:type="dxa"/>
            <w:bottom w:w="0" w:type="dxa"/>
          </w:tblCellMar>
        </w:tblPrEx>
        <w:tc>
          <w:tcPr>
            <w:tcW w:w="1100" w:type="dxa"/>
            <w:tcMar>
              <w:top w:w="70" w:type="dxa"/>
              <w:left w:w="100" w:type="dxa"/>
              <w:bottom w:w="70" w:type="dxa"/>
              <w:right w:w="100" w:type="dxa"/>
            </w:tcMar>
          </w:tcPr>
          <w:p w:rsidR="00715923" w:rsidRPr="00F36C89" w:rsidRDefault="007E7FEE">
            <w:pPr>
              <w:rPr>
                <w:sz w:val="32"/>
                <w:szCs w:val="32"/>
              </w:rPr>
            </w:pPr>
            <w:r w:rsidRPr="00F36C89">
              <w:rPr>
                <w:sz w:val="24"/>
                <w:szCs w:val="24"/>
              </w:rPr>
              <w:t>RQ2</w:t>
            </w:r>
          </w:p>
        </w:tc>
        <w:tc>
          <w:tcPr>
            <w:tcW w:w="3000" w:type="dxa"/>
            <w:tcMar>
              <w:top w:w="70" w:type="dxa"/>
              <w:left w:w="100" w:type="dxa"/>
              <w:bottom w:w="70" w:type="dxa"/>
              <w:right w:w="100" w:type="dxa"/>
            </w:tcMar>
          </w:tcPr>
          <w:p w:rsidR="00715923" w:rsidRPr="00F36C89" w:rsidRDefault="007E7FEE">
            <w:pPr>
              <w:rPr>
                <w:sz w:val="32"/>
                <w:szCs w:val="32"/>
              </w:rPr>
            </w:pPr>
            <w:r w:rsidRPr="00F36C89">
              <w:rPr>
                <w:sz w:val="24"/>
                <w:szCs w:val="24"/>
              </w:rPr>
              <w:t>Dimension items and validated scores</w:t>
            </w:r>
          </w:p>
        </w:tc>
        <w:tc>
          <w:tcPr>
            <w:tcW w:w="3200" w:type="dxa"/>
            <w:tcMar>
              <w:top w:w="70" w:type="dxa"/>
              <w:left w:w="100" w:type="dxa"/>
              <w:bottom w:w="70" w:type="dxa"/>
              <w:right w:w="100" w:type="dxa"/>
            </w:tcMar>
          </w:tcPr>
          <w:p w:rsidR="00715923" w:rsidRPr="00F36C89" w:rsidRDefault="007E7FEE">
            <w:pPr>
              <w:rPr>
                <w:sz w:val="32"/>
                <w:szCs w:val="32"/>
              </w:rPr>
            </w:pPr>
            <w:r w:rsidRPr="00F36C89">
              <w:rPr>
                <w:sz w:val="24"/>
                <w:szCs w:val="24"/>
              </w:rPr>
              <w:t>Item distributions; scale summaries; psychometrics</w:t>
            </w:r>
          </w:p>
        </w:tc>
        <w:tc>
          <w:tcPr>
            <w:tcW w:w="1700" w:type="dxa"/>
            <w:tcMar>
              <w:top w:w="70" w:type="dxa"/>
              <w:left w:w="100" w:type="dxa"/>
              <w:bottom w:w="70" w:type="dxa"/>
              <w:right w:w="100" w:type="dxa"/>
            </w:tcMar>
          </w:tcPr>
          <w:p w:rsidR="00715923" w:rsidRPr="00F36C89" w:rsidRDefault="007E7FEE">
            <w:pPr>
              <w:rPr>
                <w:sz w:val="32"/>
                <w:szCs w:val="32"/>
              </w:rPr>
            </w:pPr>
            <w:r w:rsidRPr="00F36C89">
              <w:rPr>
                <w:sz w:val="24"/>
                <w:szCs w:val="24"/>
              </w:rPr>
              <w:t>Scale construction precedes comparison</w:t>
            </w:r>
          </w:p>
        </w:tc>
      </w:tr>
      <w:tr w:rsidR="00715923" w:rsidRPr="00F36C89">
        <w:tblPrEx>
          <w:tblCellMar>
            <w:top w:w="0" w:type="dxa"/>
            <w:bottom w:w="0" w:type="dxa"/>
          </w:tblCellMar>
        </w:tblPrEx>
        <w:tc>
          <w:tcPr>
            <w:tcW w:w="1100" w:type="dxa"/>
            <w:tcMar>
              <w:top w:w="70" w:type="dxa"/>
              <w:left w:w="100" w:type="dxa"/>
              <w:bottom w:w="70" w:type="dxa"/>
              <w:right w:w="100" w:type="dxa"/>
            </w:tcMar>
          </w:tcPr>
          <w:p w:rsidR="00715923" w:rsidRPr="00F36C89" w:rsidRDefault="007E7FEE">
            <w:pPr>
              <w:rPr>
                <w:sz w:val="32"/>
                <w:szCs w:val="32"/>
              </w:rPr>
            </w:pPr>
            <w:r w:rsidRPr="00F36C89">
              <w:rPr>
                <w:sz w:val="24"/>
                <w:szCs w:val="24"/>
              </w:rPr>
              <w:t>RQ3 / H1 / H5</w:t>
            </w:r>
          </w:p>
        </w:tc>
        <w:tc>
          <w:tcPr>
            <w:tcW w:w="3000" w:type="dxa"/>
            <w:tcMar>
              <w:top w:w="70" w:type="dxa"/>
              <w:left w:w="100" w:type="dxa"/>
              <w:bottom w:w="70" w:type="dxa"/>
              <w:right w:w="100" w:type="dxa"/>
            </w:tcMar>
          </w:tcPr>
          <w:p w:rsidR="00715923" w:rsidRPr="00F36C89" w:rsidRDefault="007E7FEE">
            <w:pPr>
              <w:rPr>
                <w:sz w:val="32"/>
                <w:szCs w:val="32"/>
              </w:rPr>
            </w:pPr>
            <w:r w:rsidRPr="00F36C89">
              <w:rPr>
                <w:sz w:val="24"/>
                <w:szCs w:val="24"/>
              </w:rPr>
              <w:t>Awareness, competence, use, source evaluation</w:t>
            </w:r>
          </w:p>
        </w:tc>
        <w:tc>
          <w:tcPr>
            <w:tcW w:w="3200" w:type="dxa"/>
            <w:tcMar>
              <w:top w:w="70" w:type="dxa"/>
              <w:left w:w="100" w:type="dxa"/>
              <w:bottom w:w="70" w:type="dxa"/>
              <w:right w:w="100" w:type="dxa"/>
            </w:tcMar>
          </w:tcPr>
          <w:p w:rsidR="00715923" w:rsidRPr="00F36C89" w:rsidRDefault="007E7FEE">
            <w:pPr>
              <w:rPr>
                <w:sz w:val="32"/>
                <w:szCs w:val="32"/>
              </w:rPr>
            </w:pPr>
            <w:r w:rsidRPr="00F36C89">
              <w:rPr>
                <w:sz w:val="24"/>
                <w:szCs w:val="24"/>
              </w:rPr>
              <w:t>Correlations; hierarchical regression; scenario analysis</w:t>
            </w:r>
          </w:p>
        </w:tc>
        <w:tc>
          <w:tcPr>
            <w:tcW w:w="1700" w:type="dxa"/>
            <w:tcMar>
              <w:top w:w="70" w:type="dxa"/>
              <w:left w:w="100" w:type="dxa"/>
              <w:bottom w:w="70" w:type="dxa"/>
              <w:right w:w="100" w:type="dxa"/>
            </w:tcMar>
          </w:tcPr>
          <w:p w:rsidR="00715923" w:rsidRPr="00F36C89" w:rsidRDefault="007E7FEE">
            <w:pPr>
              <w:rPr>
                <w:sz w:val="32"/>
                <w:szCs w:val="32"/>
              </w:rPr>
            </w:pPr>
            <w:r w:rsidRPr="00F36C89">
              <w:rPr>
                <w:sz w:val="24"/>
                <w:szCs w:val="24"/>
              </w:rPr>
              <w:t>Grade, access, school context, instruction</w:t>
            </w:r>
          </w:p>
        </w:tc>
      </w:tr>
      <w:tr w:rsidR="00715923" w:rsidRPr="00F36C89">
        <w:tblPrEx>
          <w:tblCellMar>
            <w:top w:w="0" w:type="dxa"/>
            <w:bottom w:w="0" w:type="dxa"/>
          </w:tblCellMar>
        </w:tblPrEx>
        <w:tc>
          <w:tcPr>
            <w:tcW w:w="1100" w:type="dxa"/>
            <w:tcMar>
              <w:top w:w="70" w:type="dxa"/>
              <w:left w:w="100" w:type="dxa"/>
              <w:bottom w:w="70" w:type="dxa"/>
              <w:right w:w="100" w:type="dxa"/>
            </w:tcMar>
          </w:tcPr>
          <w:p w:rsidR="00715923" w:rsidRPr="00F36C89" w:rsidRDefault="007E7FEE">
            <w:pPr>
              <w:rPr>
                <w:sz w:val="32"/>
                <w:szCs w:val="32"/>
              </w:rPr>
            </w:pPr>
            <w:r w:rsidRPr="00F36C89">
              <w:rPr>
                <w:sz w:val="24"/>
                <w:szCs w:val="24"/>
              </w:rPr>
              <w:t>RQ4 / H2 / H6</w:t>
            </w:r>
          </w:p>
        </w:tc>
        <w:tc>
          <w:tcPr>
            <w:tcW w:w="3000" w:type="dxa"/>
            <w:tcMar>
              <w:top w:w="70" w:type="dxa"/>
              <w:left w:w="100" w:type="dxa"/>
              <w:bottom w:w="70" w:type="dxa"/>
              <w:right w:w="100" w:type="dxa"/>
            </w:tcMar>
          </w:tcPr>
          <w:p w:rsidR="00715923" w:rsidRPr="00F36C89" w:rsidRDefault="007E7FEE">
            <w:pPr>
              <w:rPr>
                <w:sz w:val="32"/>
                <w:szCs w:val="32"/>
              </w:rPr>
            </w:pPr>
            <w:r w:rsidRPr="00F36C89">
              <w:rPr>
                <w:sz w:val="24"/>
                <w:szCs w:val="24"/>
              </w:rPr>
              <w:t>Evaluation, trust, confidence, discernment, bias</w:t>
            </w:r>
          </w:p>
        </w:tc>
        <w:tc>
          <w:tcPr>
            <w:tcW w:w="3200" w:type="dxa"/>
            <w:tcMar>
              <w:top w:w="70" w:type="dxa"/>
              <w:left w:w="100" w:type="dxa"/>
              <w:bottom w:w="70" w:type="dxa"/>
              <w:right w:w="100" w:type="dxa"/>
            </w:tcMar>
          </w:tcPr>
          <w:p w:rsidR="00715923" w:rsidRPr="00F36C89" w:rsidRDefault="007E7FEE">
            <w:pPr>
              <w:rPr>
                <w:sz w:val="32"/>
                <w:szCs w:val="32"/>
              </w:rPr>
            </w:pPr>
            <w:r w:rsidRPr="00F36C89">
              <w:rPr>
                <w:sz w:val="24"/>
                <w:szCs w:val="24"/>
              </w:rPr>
              <w:t>Correlations; regression on discernment and on bias separately</w:t>
            </w:r>
          </w:p>
        </w:tc>
        <w:tc>
          <w:tcPr>
            <w:tcW w:w="1700" w:type="dxa"/>
            <w:tcMar>
              <w:top w:w="70" w:type="dxa"/>
              <w:left w:w="100" w:type="dxa"/>
              <w:bottom w:w="70" w:type="dxa"/>
              <w:right w:w="100" w:type="dxa"/>
            </w:tcMar>
          </w:tcPr>
          <w:p w:rsidR="00715923" w:rsidRPr="00F36C89" w:rsidRDefault="007E7FEE">
            <w:pPr>
              <w:rPr>
                <w:sz w:val="32"/>
                <w:szCs w:val="32"/>
              </w:rPr>
            </w:pPr>
            <w:r w:rsidRPr="00F36C89">
              <w:rPr>
                <w:sz w:val="24"/>
                <w:szCs w:val="24"/>
              </w:rPr>
              <w:t>Bias index reported alongside discernment</w:t>
            </w:r>
          </w:p>
        </w:tc>
      </w:tr>
      <w:tr w:rsidR="00715923" w:rsidRPr="00F36C89">
        <w:tblPrEx>
          <w:tblCellMar>
            <w:top w:w="0" w:type="dxa"/>
            <w:bottom w:w="0" w:type="dxa"/>
          </w:tblCellMar>
        </w:tblPrEx>
        <w:tc>
          <w:tcPr>
            <w:tcW w:w="1100" w:type="dxa"/>
            <w:tcMar>
              <w:top w:w="70" w:type="dxa"/>
              <w:left w:w="100" w:type="dxa"/>
              <w:bottom w:w="70" w:type="dxa"/>
              <w:right w:w="100" w:type="dxa"/>
            </w:tcMar>
          </w:tcPr>
          <w:p w:rsidR="00715923" w:rsidRPr="00F36C89" w:rsidRDefault="007E7FEE">
            <w:pPr>
              <w:rPr>
                <w:sz w:val="32"/>
                <w:szCs w:val="32"/>
              </w:rPr>
            </w:pPr>
            <w:r w:rsidRPr="00F36C89">
              <w:rPr>
                <w:sz w:val="24"/>
                <w:szCs w:val="24"/>
              </w:rPr>
              <w:t>RQ5 / H3</w:t>
            </w:r>
          </w:p>
        </w:tc>
        <w:tc>
          <w:tcPr>
            <w:tcW w:w="3000" w:type="dxa"/>
            <w:tcMar>
              <w:top w:w="70" w:type="dxa"/>
              <w:left w:w="100" w:type="dxa"/>
              <w:bottom w:w="70" w:type="dxa"/>
              <w:right w:w="100" w:type="dxa"/>
            </w:tcMar>
          </w:tcPr>
          <w:p w:rsidR="00715923" w:rsidRPr="00F36C89" w:rsidRDefault="007E7FEE">
            <w:pPr>
              <w:rPr>
                <w:sz w:val="32"/>
                <w:szCs w:val="32"/>
              </w:rPr>
            </w:pPr>
            <w:r w:rsidRPr="00F36C89">
              <w:rPr>
                <w:sz w:val="24"/>
                <w:szCs w:val="24"/>
              </w:rPr>
              <w:t>Risk awareness, trust, responsible sharing</w:t>
            </w:r>
          </w:p>
        </w:tc>
        <w:tc>
          <w:tcPr>
            <w:tcW w:w="3200" w:type="dxa"/>
            <w:tcMar>
              <w:top w:w="70" w:type="dxa"/>
              <w:left w:w="100" w:type="dxa"/>
              <w:bottom w:w="70" w:type="dxa"/>
              <w:right w:w="100" w:type="dxa"/>
            </w:tcMar>
          </w:tcPr>
          <w:p w:rsidR="00715923" w:rsidRPr="00F36C89" w:rsidRDefault="007E7FEE">
            <w:pPr>
              <w:rPr>
                <w:sz w:val="32"/>
                <w:szCs w:val="32"/>
              </w:rPr>
            </w:pPr>
            <w:r w:rsidRPr="00F36C89">
              <w:rPr>
                <w:sz w:val="24"/>
                <w:szCs w:val="24"/>
              </w:rPr>
              <w:t>Correlations; linear or ordinal regression; non-linear trust tests</w:t>
            </w:r>
          </w:p>
        </w:tc>
        <w:tc>
          <w:tcPr>
            <w:tcW w:w="1700" w:type="dxa"/>
            <w:tcMar>
              <w:top w:w="70" w:type="dxa"/>
              <w:left w:w="100" w:type="dxa"/>
              <w:bottom w:w="70" w:type="dxa"/>
              <w:right w:w="100" w:type="dxa"/>
            </w:tcMar>
          </w:tcPr>
          <w:p w:rsidR="00715923" w:rsidRPr="00F36C89" w:rsidRDefault="007E7FEE">
            <w:pPr>
              <w:rPr>
                <w:sz w:val="32"/>
                <w:szCs w:val="32"/>
              </w:rPr>
            </w:pPr>
            <w:r w:rsidRPr="00F36C89">
              <w:rPr>
                <w:sz w:val="24"/>
                <w:szCs w:val="24"/>
              </w:rPr>
              <w:t>Context and exposure covariates</w:t>
            </w:r>
          </w:p>
        </w:tc>
      </w:tr>
      <w:tr w:rsidR="00715923" w:rsidRPr="00F36C89">
        <w:tblPrEx>
          <w:tblCellMar>
            <w:top w:w="0" w:type="dxa"/>
            <w:bottom w:w="0" w:type="dxa"/>
          </w:tblCellMar>
        </w:tblPrEx>
        <w:tc>
          <w:tcPr>
            <w:tcW w:w="1100" w:type="dxa"/>
            <w:tcMar>
              <w:top w:w="70" w:type="dxa"/>
              <w:left w:w="100" w:type="dxa"/>
              <w:bottom w:w="70" w:type="dxa"/>
              <w:right w:w="100" w:type="dxa"/>
            </w:tcMar>
          </w:tcPr>
          <w:p w:rsidR="00715923" w:rsidRPr="00F36C89" w:rsidRDefault="007E7FEE">
            <w:pPr>
              <w:rPr>
                <w:sz w:val="32"/>
                <w:szCs w:val="32"/>
              </w:rPr>
            </w:pPr>
            <w:r w:rsidRPr="00F36C89">
              <w:rPr>
                <w:sz w:val="24"/>
                <w:szCs w:val="24"/>
              </w:rPr>
              <w:t>RQ6 / H4</w:t>
            </w:r>
          </w:p>
        </w:tc>
        <w:tc>
          <w:tcPr>
            <w:tcW w:w="3000" w:type="dxa"/>
            <w:tcMar>
              <w:top w:w="70" w:type="dxa"/>
              <w:left w:w="100" w:type="dxa"/>
              <w:bottom w:w="70" w:type="dxa"/>
              <w:right w:w="100" w:type="dxa"/>
            </w:tcMar>
          </w:tcPr>
          <w:p w:rsidR="00715923" w:rsidRPr="00F36C89" w:rsidRDefault="007E7FEE">
            <w:pPr>
              <w:rPr>
                <w:sz w:val="32"/>
                <w:szCs w:val="32"/>
              </w:rPr>
            </w:pPr>
            <w:r w:rsidRPr="00F36C89">
              <w:rPr>
                <w:sz w:val="24"/>
                <w:szCs w:val="24"/>
              </w:rPr>
              <w:t>Subgroup variables and literacy outcomes</w:t>
            </w:r>
          </w:p>
        </w:tc>
        <w:tc>
          <w:tcPr>
            <w:tcW w:w="3200" w:type="dxa"/>
            <w:tcMar>
              <w:top w:w="70" w:type="dxa"/>
              <w:left w:w="100" w:type="dxa"/>
              <w:bottom w:w="70" w:type="dxa"/>
              <w:right w:w="100" w:type="dxa"/>
            </w:tcMar>
          </w:tcPr>
          <w:p w:rsidR="00715923" w:rsidRPr="00F36C89" w:rsidRDefault="007E7FEE">
            <w:pPr>
              <w:rPr>
                <w:sz w:val="32"/>
                <w:szCs w:val="32"/>
              </w:rPr>
            </w:pPr>
            <w:r w:rsidRPr="00F36C89">
              <w:rPr>
                <w:sz w:val="24"/>
                <w:szCs w:val="24"/>
              </w:rPr>
              <w:t>Chi-square; t or ANOVA or nonparametric tests; adjusted models</w:t>
            </w:r>
          </w:p>
        </w:tc>
        <w:tc>
          <w:tcPr>
            <w:tcW w:w="1700" w:type="dxa"/>
            <w:tcMar>
              <w:top w:w="70" w:type="dxa"/>
              <w:left w:w="100" w:type="dxa"/>
              <w:bottom w:w="70" w:type="dxa"/>
              <w:right w:w="100" w:type="dxa"/>
            </w:tcMar>
          </w:tcPr>
          <w:p w:rsidR="00715923" w:rsidRPr="00F36C89" w:rsidRDefault="007E7FEE">
            <w:pPr>
              <w:rPr>
                <w:sz w:val="32"/>
                <w:szCs w:val="32"/>
              </w:rPr>
            </w:pPr>
            <w:r w:rsidRPr="00F36C89">
              <w:rPr>
                <w:sz w:val="24"/>
                <w:szCs w:val="24"/>
              </w:rPr>
              <w:t>FDR correction; clustering</w:t>
            </w:r>
          </w:p>
        </w:tc>
      </w:tr>
      <w:tr w:rsidR="00715923" w:rsidRPr="00F36C89">
        <w:tblPrEx>
          <w:tblCellMar>
            <w:top w:w="0" w:type="dxa"/>
            <w:bottom w:w="0" w:type="dxa"/>
          </w:tblCellMar>
        </w:tblPrEx>
        <w:tc>
          <w:tcPr>
            <w:tcW w:w="1100" w:type="dxa"/>
            <w:tcMar>
              <w:top w:w="70" w:type="dxa"/>
              <w:left w:w="100" w:type="dxa"/>
              <w:bottom w:w="70" w:type="dxa"/>
              <w:right w:w="100" w:type="dxa"/>
            </w:tcMar>
          </w:tcPr>
          <w:p w:rsidR="00715923" w:rsidRPr="00F36C89" w:rsidRDefault="007E7FEE">
            <w:pPr>
              <w:rPr>
                <w:sz w:val="32"/>
                <w:szCs w:val="32"/>
              </w:rPr>
            </w:pPr>
            <w:r w:rsidRPr="00F36C89">
              <w:rPr>
                <w:sz w:val="24"/>
                <w:szCs w:val="24"/>
              </w:rPr>
              <w:t>RQ7 / H7</w:t>
            </w:r>
          </w:p>
        </w:tc>
        <w:tc>
          <w:tcPr>
            <w:tcW w:w="3000" w:type="dxa"/>
            <w:tcMar>
              <w:top w:w="70" w:type="dxa"/>
              <w:left w:w="100" w:type="dxa"/>
              <w:bottom w:w="70" w:type="dxa"/>
              <w:right w:w="100" w:type="dxa"/>
            </w:tcMar>
          </w:tcPr>
          <w:p w:rsidR="00715923" w:rsidRPr="00F36C89" w:rsidRDefault="007E7FEE">
            <w:pPr>
              <w:rPr>
                <w:sz w:val="32"/>
                <w:szCs w:val="32"/>
              </w:rPr>
            </w:pPr>
            <w:r w:rsidRPr="00F36C89">
              <w:rPr>
                <w:sz w:val="24"/>
                <w:szCs w:val="24"/>
              </w:rPr>
              <w:t>Predictors and exploratory pathway</w:t>
            </w:r>
          </w:p>
        </w:tc>
        <w:tc>
          <w:tcPr>
            <w:tcW w:w="3200" w:type="dxa"/>
            <w:tcMar>
              <w:top w:w="70" w:type="dxa"/>
              <w:left w:w="100" w:type="dxa"/>
              <w:bottom w:w="70" w:type="dxa"/>
              <w:right w:w="100" w:type="dxa"/>
            </w:tcMar>
          </w:tcPr>
          <w:p w:rsidR="00715923" w:rsidRPr="00F36C89" w:rsidRDefault="007E7FEE">
            <w:pPr>
              <w:rPr>
                <w:sz w:val="32"/>
                <w:szCs w:val="32"/>
              </w:rPr>
            </w:pPr>
            <w:r w:rsidRPr="00F36C89">
              <w:rPr>
                <w:sz w:val="24"/>
                <w:szCs w:val="24"/>
              </w:rPr>
              <w:t>Multilevel or cluster-robust models; indirect effect only if supported</w:t>
            </w:r>
          </w:p>
        </w:tc>
        <w:tc>
          <w:tcPr>
            <w:tcW w:w="1700" w:type="dxa"/>
            <w:tcMar>
              <w:top w:w="70" w:type="dxa"/>
              <w:left w:w="100" w:type="dxa"/>
              <w:bottom w:w="70" w:type="dxa"/>
              <w:right w:w="100" w:type="dxa"/>
            </w:tcMar>
          </w:tcPr>
          <w:p w:rsidR="00715923" w:rsidRPr="00F36C89" w:rsidRDefault="007E7FEE">
            <w:pPr>
              <w:rPr>
                <w:sz w:val="32"/>
                <w:szCs w:val="32"/>
              </w:rPr>
            </w:pPr>
            <w:r w:rsidRPr="00F36C89">
              <w:rPr>
                <w:sz w:val="24"/>
                <w:szCs w:val="24"/>
              </w:rPr>
              <w:t>No causal language</w:t>
            </w:r>
          </w:p>
        </w:tc>
      </w:tr>
      <w:tr w:rsidR="00715923" w:rsidRPr="00F36C89">
        <w:tblPrEx>
          <w:tblCellMar>
            <w:top w:w="0" w:type="dxa"/>
            <w:bottom w:w="0" w:type="dxa"/>
          </w:tblCellMar>
        </w:tblPrEx>
        <w:tc>
          <w:tcPr>
            <w:tcW w:w="1100" w:type="dxa"/>
            <w:tcMar>
              <w:top w:w="70" w:type="dxa"/>
              <w:left w:w="100" w:type="dxa"/>
              <w:bottom w:w="70" w:type="dxa"/>
              <w:right w:w="100" w:type="dxa"/>
            </w:tcMar>
          </w:tcPr>
          <w:p w:rsidR="00715923" w:rsidRPr="00F36C89" w:rsidRDefault="007E7FEE">
            <w:pPr>
              <w:rPr>
                <w:sz w:val="32"/>
                <w:szCs w:val="32"/>
              </w:rPr>
            </w:pPr>
            <w:r w:rsidRPr="00F36C89">
              <w:rPr>
                <w:sz w:val="24"/>
                <w:szCs w:val="24"/>
              </w:rPr>
              <w:t>RQ8</w:t>
            </w:r>
          </w:p>
        </w:tc>
        <w:tc>
          <w:tcPr>
            <w:tcW w:w="3000" w:type="dxa"/>
            <w:tcMar>
              <w:top w:w="70" w:type="dxa"/>
              <w:left w:w="100" w:type="dxa"/>
              <w:bottom w:w="70" w:type="dxa"/>
              <w:right w:w="100" w:type="dxa"/>
            </w:tcMar>
          </w:tcPr>
          <w:p w:rsidR="00715923" w:rsidRPr="00F36C89" w:rsidRDefault="007E7FEE">
            <w:pPr>
              <w:rPr>
                <w:sz w:val="32"/>
                <w:szCs w:val="32"/>
              </w:rPr>
            </w:pPr>
            <w:r w:rsidRPr="00F36C89">
              <w:rPr>
                <w:sz w:val="24"/>
                <w:szCs w:val="24"/>
              </w:rPr>
              <w:t>Optional open text</w:t>
            </w:r>
          </w:p>
        </w:tc>
        <w:tc>
          <w:tcPr>
            <w:tcW w:w="3200" w:type="dxa"/>
            <w:tcMar>
              <w:top w:w="70" w:type="dxa"/>
              <w:left w:w="100" w:type="dxa"/>
              <w:bottom w:w="70" w:type="dxa"/>
              <w:right w:w="100" w:type="dxa"/>
            </w:tcMar>
          </w:tcPr>
          <w:p w:rsidR="00715923" w:rsidRPr="00F36C89" w:rsidRDefault="007E7FEE">
            <w:pPr>
              <w:rPr>
                <w:sz w:val="32"/>
                <w:szCs w:val="32"/>
              </w:rPr>
            </w:pPr>
            <w:r w:rsidRPr="00F36C89">
              <w:rPr>
                <w:sz w:val="24"/>
                <w:szCs w:val="24"/>
              </w:rPr>
              <w:t>Content coding and cautious frequency summaries</w:t>
            </w:r>
          </w:p>
        </w:tc>
        <w:tc>
          <w:tcPr>
            <w:tcW w:w="1700" w:type="dxa"/>
            <w:tcMar>
              <w:top w:w="70" w:type="dxa"/>
              <w:left w:w="100" w:type="dxa"/>
              <w:bottom w:w="70" w:type="dxa"/>
              <w:right w:w="100" w:type="dxa"/>
            </w:tcMar>
          </w:tcPr>
          <w:p w:rsidR="00715923" w:rsidRPr="00F36C89" w:rsidRDefault="007E7FEE">
            <w:pPr>
              <w:rPr>
                <w:sz w:val="32"/>
                <w:szCs w:val="32"/>
              </w:rPr>
            </w:pPr>
            <w:r w:rsidRPr="00F36C89">
              <w:rPr>
                <w:sz w:val="24"/>
                <w:szCs w:val="24"/>
              </w:rPr>
              <w:t>De-identification; coder audit</w:t>
            </w:r>
          </w:p>
        </w:tc>
      </w:tr>
    </w:tbl>
    <w:p w:rsidR="00715923" w:rsidRPr="00F36C89" w:rsidRDefault="007E7FEE">
      <w:pPr>
        <w:spacing w:after="200"/>
        <w:jc w:val="both"/>
        <w:rPr>
          <w:sz w:val="32"/>
          <w:szCs w:val="32"/>
        </w:rPr>
      </w:pPr>
      <w:r w:rsidRPr="00F36C89">
        <w:rPr>
          <w:color w:val="595959"/>
          <w:sz w:val="24"/>
          <w:szCs w:val="24"/>
        </w:rPr>
        <w:lastRenderedPageBreak/>
        <w:t>Note. Exact model forms will be frozen after pilot revision but before the main outcomes are inspected.</w:t>
      </w:r>
    </w:p>
    <w:p w:rsidR="00715923" w:rsidRPr="00F36C89" w:rsidRDefault="007E7FEE">
      <w:pPr>
        <w:pStyle w:val="Heading1"/>
        <w:keepNext/>
        <w:pageBreakBefore/>
        <w:spacing w:before="320" w:after="160"/>
        <w:rPr>
          <w:sz w:val="32"/>
          <w:szCs w:val="32"/>
        </w:rPr>
      </w:pPr>
      <w:r w:rsidRPr="00F36C89">
        <w:rPr>
          <w:b/>
          <w:bCs/>
          <w:color w:val="1F3864"/>
          <w:sz w:val="40"/>
          <w:szCs w:val="40"/>
        </w:rPr>
        <w:lastRenderedPageBreak/>
        <w:t>6. Results</w:t>
      </w:r>
    </w:p>
    <w:p w:rsidR="00715923" w:rsidRPr="00F36C89" w:rsidRDefault="007E7FEE">
      <w:pPr>
        <w:pStyle w:val="Heading2"/>
        <w:keepNext/>
        <w:spacing w:before="260" w:after="120"/>
        <w:rPr>
          <w:sz w:val="32"/>
          <w:szCs w:val="32"/>
        </w:rPr>
      </w:pPr>
      <w:r w:rsidRPr="00F36C89">
        <w:rPr>
          <w:b/>
          <w:bCs/>
          <w:color w:val="1F7A8C"/>
          <w:sz w:val="36"/>
          <w:szCs w:val="36"/>
        </w:rPr>
        <w:t>6.1 Participant flow and sample characteristics</w:t>
      </w:r>
    </w:p>
    <w:p w:rsidR="00715923" w:rsidRPr="00F36C89" w:rsidRDefault="007E7FEE">
      <w:pPr>
        <w:spacing w:after="140"/>
        <w:jc w:val="both"/>
        <w:rPr>
          <w:sz w:val="32"/>
          <w:szCs w:val="32"/>
        </w:rPr>
      </w:pPr>
      <w:r w:rsidRPr="00F36C89">
        <w:rPr>
          <w:sz w:val="32"/>
          <w:szCs w:val="32"/>
        </w:rPr>
        <w:t>Future report: identify the school-recruitment frame, schools approached and participating, eligible students, guardian permissions</w:t>
      </w:r>
      <w:r w:rsidRPr="00F36C89">
        <w:rPr>
          <w:sz w:val="32"/>
          <w:szCs w:val="32"/>
        </w:rPr>
        <w:t xml:space="preserve">, assents, returned surveys, exclusions with reasons, and final analytic samples. Describe grade, age band, gender response, school type, location category, primary survey language, device access, platform repertoire, and prior media-literacy instruction. </w:t>
      </w:r>
      <w:r w:rsidRPr="00F36C89">
        <w:rPr>
          <w:sz w:val="32"/>
          <w:szCs w:val="32"/>
        </w:rPr>
        <w:t>Suppress small cells that create disclosure risk.</w:t>
      </w:r>
    </w:p>
    <w:p w:rsidR="00715923" w:rsidRPr="00F36C89" w:rsidRDefault="007E7FEE">
      <w:pPr>
        <w:keepNext/>
        <w:spacing w:before="200" w:after="80"/>
        <w:rPr>
          <w:sz w:val="32"/>
          <w:szCs w:val="32"/>
        </w:rPr>
      </w:pPr>
      <w:r w:rsidRPr="00F36C89">
        <w:rPr>
          <w:b/>
          <w:bCs/>
          <w:color w:val="1F3864"/>
          <w:sz w:val="28"/>
          <w:szCs w:val="28"/>
        </w:rPr>
        <w:t>Table 4. Participant flow and analytic sample — reporting shell</w:t>
      </w:r>
    </w:p>
    <w:tbl>
      <w:tblPr>
        <w:tblW w:w="9000" w:type="dxa"/>
        <w:tblBorders>
          <w:top w:val="single" w:sz="4" w:space="0" w:color="BFC9D6"/>
          <w:left w:val="single" w:sz="4" w:space="0" w:color="BFC9D6"/>
          <w:bottom w:val="single" w:sz="4" w:space="0" w:color="BFC9D6"/>
          <w:right w:val="single" w:sz="4" w:space="0" w:color="BFC9D6"/>
          <w:insideH w:val="single" w:sz="4" w:space="0" w:color="BFC9D6"/>
          <w:insideV w:val="single" w:sz="4" w:space="0" w:color="BFC9D6"/>
        </w:tblBorders>
        <w:tblCellMar>
          <w:left w:w="10" w:type="dxa"/>
          <w:right w:w="10" w:type="dxa"/>
        </w:tblCellMar>
        <w:tblLook w:val="04A0" w:firstRow="1" w:lastRow="0" w:firstColumn="1" w:lastColumn="0" w:noHBand="0" w:noVBand="1"/>
      </w:tblPr>
      <w:tblGrid>
        <w:gridCol w:w="3200"/>
        <w:gridCol w:w="1200"/>
        <w:gridCol w:w="4600"/>
      </w:tblGrid>
      <w:tr w:rsidR="00715923" w:rsidRPr="00F36C89">
        <w:tblPrEx>
          <w:tblCellMar>
            <w:top w:w="0" w:type="dxa"/>
            <w:bottom w:w="0" w:type="dxa"/>
          </w:tblCellMar>
        </w:tblPrEx>
        <w:trPr>
          <w:tblHeader/>
        </w:trPr>
        <w:tc>
          <w:tcPr>
            <w:tcW w:w="3200" w:type="dxa"/>
            <w:shd w:val="clear" w:color="auto" w:fill="1F3864"/>
            <w:tcMar>
              <w:top w:w="70" w:type="dxa"/>
              <w:left w:w="100" w:type="dxa"/>
              <w:bottom w:w="70" w:type="dxa"/>
              <w:right w:w="100" w:type="dxa"/>
            </w:tcMar>
          </w:tcPr>
          <w:p w:rsidR="00715923" w:rsidRPr="00F36C89" w:rsidRDefault="007E7FEE">
            <w:pPr>
              <w:rPr>
                <w:sz w:val="32"/>
                <w:szCs w:val="32"/>
              </w:rPr>
            </w:pPr>
            <w:r w:rsidRPr="00F36C89">
              <w:rPr>
                <w:b/>
                <w:bCs/>
                <w:color w:val="FFFFFF"/>
                <w:sz w:val="24"/>
                <w:szCs w:val="24"/>
              </w:rPr>
              <w:t>Flow element</w:t>
            </w:r>
          </w:p>
        </w:tc>
        <w:tc>
          <w:tcPr>
            <w:tcW w:w="1200" w:type="dxa"/>
            <w:shd w:val="clear" w:color="auto" w:fill="1F3864"/>
            <w:tcMar>
              <w:top w:w="70" w:type="dxa"/>
              <w:left w:w="100" w:type="dxa"/>
              <w:bottom w:w="70" w:type="dxa"/>
              <w:right w:w="100" w:type="dxa"/>
            </w:tcMar>
          </w:tcPr>
          <w:p w:rsidR="00715923" w:rsidRPr="00F36C89" w:rsidRDefault="007E7FEE">
            <w:pPr>
              <w:rPr>
                <w:sz w:val="32"/>
                <w:szCs w:val="32"/>
              </w:rPr>
            </w:pPr>
            <w:r w:rsidRPr="00F36C89">
              <w:rPr>
                <w:b/>
                <w:bCs/>
                <w:color w:val="FFFFFF"/>
                <w:sz w:val="24"/>
                <w:szCs w:val="24"/>
              </w:rPr>
              <w:t>n</w:t>
            </w:r>
          </w:p>
        </w:tc>
        <w:tc>
          <w:tcPr>
            <w:tcW w:w="4600" w:type="dxa"/>
            <w:shd w:val="clear" w:color="auto" w:fill="1F3864"/>
            <w:tcMar>
              <w:top w:w="70" w:type="dxa"/>
              <w:left w:w="100" w:type="dxa"/>
              <w:bottom w:w="70" w:type="dxa"/>
              <w:right w:w="100" w:type="dxa"/>
            </w:tcMar>
          </w:tcPr>
          <w:p w:rsidR="00715923" w:rsidRPr="00F36C89" w:rsidRDefault="007E7FEE">
            <w:pPr>
              <w:rPr>
                <w:sz w:val="32"/>
                <w:szCs w:val="32"/>
              </w:rPr>
            </w:pPr>
            <w:r w:rsidRPr="00F36C89">
              <w:rPr>
                <w:b/>
                <w:bCs/>
                <w:color w:val="FFFFFF"/>
                <w:sz w:val="24"/>
                <w:szCs w:val="24"/>
              </w:rPr>
              <w:t>Reporting note</w:t>
            </w:r>
          </w:p>
        </w:tc>
      </w:tr>
      <w:tr w:rsidR="00715923" w:rsidRPr="00F36C89">
        <w:tblPrEx>
          <w:tblCellMar>
            <w:top w:w="0" w:type="dxa"/>
            <w:bottom w:w="0" w:type="dxa"/>
          </w:tblCellMar>
        </w:tblPrEx>
        <w:tc>
          <w:tcPr>
            <w:tcW w:w="3200" w:type="dxa"/>
            <w:tcMar>
              <w:top w:w="70" w:type="dxa"/>
              <w:left w:w="100" w:type="dxa"/>
              <w:bottom w:w="70" w:type="dxa"/>
              <w:right w:w="100" w:type="dxa"/>
            </w:tcMar>
          </w:tcPr>
          <w:p w:rsidR="00715923" w:rsidRPr="00F36C89" w:rsidRDefault="007E7FEE">
            <w:pPr>
              <w:rPr>
                <w:sz w:val="32"/>
                <w:szCs w:val="32"/>
              </w:rPr>
            </w:pPr>
            <w:r w:rsidRPr="00F36C89">
              <w:rPr>
                <w:sz w:val="24"/>
                <w:szCs w:val="24"/>
              </w:rPr>
              <w:t>Schools approached</w:t>
            </w:r>
          </w:p>
        </w:tc>
        <w:tc>
          <w:tcPr>
            <w:tcW w:w="1200" w:type="dxa"/>
            <w:tcMar>
              <w:top w:w="70" w:type="dxa"/>
              <w:left w:w="100" w:type="dxa"/>
              <w:bottom w:w="70" w:type="dxa"/>
              <w:right w:w="100" w:type="dxa"/>
            </w:tcMar>
          </w:tcPr>
          <w:p w:rsidR="00715923" w:rsidRPr="00F36C89" w:rsidRDefault="007E7FEE">
            <w:pPr>
              <w:rPr>
                <w:sz w:val="32"/>
                <w:szCs w:val="32"/>
              </w:rPr>
            </w:pPr>
            <w:r w:rsidRPr="00F36C89">
              <w:rPr>
                <w:sz w:val="24"/>
                <w:szCs w:val="24"/>
              </w:rPr>
              <w:t>—</w:t>
            </w:r>
          </w:p>
        </w:tc>
        <w:tc>
          <w:tcPr>
            <w:tcW w:w="4600" w:type="dxa"/>
            <w:tcMar>
              <w:top w:w="70" w:type="dxa"/>
              <w:left w:w="100" w:type="dxa"/>
              <w:bottom w:w="70" w:type="dxa"/>
              <w:right w:w="100" w:type="dxa"/>
            </w:tcMar>
          </w:tcPr>
          <w:p w:rsidR="00715923" w:rsidRPr="00F36C89" w:rsidRDefault="007E7FEE">
            <w:pPr>
              <w:rPr>
                <w:sz w:val="32"/>
                <w:szCs w:val="32"/>
              </w:rPr>
            </w:pPr>
            <w:r w:rsidRPr="00F36C89">
              <w:rPr>
                <w:sz w:val="24"/>
                <w:szCs w:val="24"/>
              </w:rPr>
              <w:t>Pending documented recruitment log</w:t>
            </w:r>
          </w:p>
        </w:tc>
      </w:tr>
      <w:tr w:rsidR="00715923" w:rsidRPr="00F36C89">
        <w:tblPrEx>
          <w:tblCellMar>
            <w:top w:w="0" w:type="dxa"/>
            <w:bottom w:w="0" w:type="dxa"/>
          </w:tblCellMar>
        </w:tblPrEx>
        <w:tc>
          <w:tcPr>
            <w:tcW w:w="3200" w:type="dxa"/>
            <w:tcMar>
              <w:top w:w="70" w:type="dxa"/>
              <w:left w:w="100" w:type="dxa"/>
              <w:bottom w:w="70" w:type="dxa"/>
              <w:right w:w="100" w:type="dxa"/>
            </w:tcMar>
          </w:tcPr>
          <w:p w:rsidR="00715923" w:rsidRPr="00F36C89" w:rsidRDefault="007E7FEE">
            <w:pPr>
              <w:rPr>
                <w:sz w:val="32"/>
                <w:szCs w:val="32"/>
              </w:rPr>
            </w:pPr>
            <w:r w:rsidRPr="00F36C89">
              <w:rPr>
                <w:sz w:val="24"/>
                <w:szCs w:val="24"/>
              </w:rPr>
              <w:t>Schools participating</w:t>
            </w:r>
          </w:p>
        </w:tc>
        <w:tc>
          <w:tcPr>
            <w:tcW w:w="1200" w:type="dxa"/>
            <w:tcMar>
              <w:top w:w="70" w:type="dxa"/>
              <w:left w:w="100" w:type="dxa"/>
              <w:bottom w:w="70" w:type="dxa"/>
              <w:right w:w="100" w:type="dxa"/>
            </w:tcMar>
          </w:tcPr>
          <w:p w:rsidR="00715923" w:rsidRPr="00F36C89" w:rsidRDefault="007E7FEE">
            <w:pPr>
              <w:rPr>
                <w:sz w:val="32"/>
                <w:szCs w:val="32"/>
              </w:rPr>
            </w:pPr>
            <w:r w:rsidRPr="00F36C89">
              <w:rPr>
                <w:sz w:val="24"/>
                <w:szCs w:val="24"/>
              </w:rPr>
              <w:t>—</w:t>
            </w:r>
          </w:p>
        </w:tc>
        <w:tc>
          <w:tcPr>
            <w:tcW w:w="4600" w:type="dxa"/>
            <w:tcMar>
              <w:top w:w="70" w:type="dxa"/>
              <w:left w:w="100" w:type="dxa"/>
              <w:bottom w:w="70" w:type="dxa"/>
              <w:right w:w="100" w:type="dxa"/>
            </w:tcMar>
          </w:tcPr>
          <w:p w:rsidR="00715923" w:rsidRPr="00F36C89" w:rsidRDefault="007E7FEE">
            <w:pPr>
              <w:rPr>
                <w:sz w:val="32"/>
                <w:szCs w:val="32"/>
              </w:rPr>
            </w:pPr>
            <w:r w:rsidRPr="00F36C89">
              <w:rPr>
                <w:sz w:val="24"/>
                <w:szCs w:val="24"/>
              </w:rPr>
              <w:t>Pending school permission</w:t>
            </w:r>
          </w:p>
        </w:tc>
      </w:tr>
      <w:tr w:rsidR="00715923" w:rsidRPr="00F36C89">
        <w:tblPrEx>
          <w:tblCellMar>
            <w:top w:w="0" w:type="dxa"/>
            <w:bottom w:w="0" w:type="dxa"/>
          </w:tblCellMar>
        </w:tblPrEx>
        <w:tc>
          <w:tcPr>
            <w:tcW w:w="3200" w:type="dxa"/>
            <w:tcMar>
              <w:top w:w="70" w:type="dxa"/>
              <w:left w:w="100" w:type="dxa"/>
              <w:bottom w:w="70" w:type="dxa"/>
              <w:right w:w="100" w:type="dxa"/>
            </w:tcMar>
          </w:tcPr>
          <w:p w:rsidR="00715923" w:rsidRPr="00F36C89" w:rsidRDefault="007E7FEE">
            <w:pPr>
              <w:rPr>
                <w:sz w:val="32"/>
                <w:szCs w:val="32"/>
              </w:rPr>
            </w:pPr>
            <w:r w:rsidRPr="00F36C89">
              <w:rPr>
                <w:sz w:val="24"/>
                <w:szCs w:val="24"/>
              </w:rPr>
              <w:t>Eligible students invited</w:t>
            </w:r>
          </w:p>
        </w:tc>
        <w:tc>
          <w:tcPr>
            <w:tcW w:w="1200" w:type="dxa"/>
            <w:tcMar>
              <w:top w:w="70" w:type="dxa"/>
              <w:left w:w="100" w:type="dxa"/>
              <w:bottom w:w="70" w:type="dxa"/>
              <w:right w:w="100" w:type="dxa"/>
            </w:tcMar>
          </w:tcPr>
          <w:p w:rsidR="00715923" w:rsidRPr="00F36C89" w:rsidRDefault="007E7FEE">
            <w:pPr>
              <w:rPr>
                <w:sz w:val="32"/>
                <w:szCs w:val="32"/>
              </w:rPr>
            </w:pPr>
            <w:r w:rsidRPr="00F36C89">
              <w:rPr>
                <w:sz w:val="24"/>
                <w:szCs w:val="24"/>
              </w:rPr>
              <w:t>—</w:t>
            </w:r>
          </w:p>
        </w:tc>
        <w:tc>
          <w:tcPr>
            <w:tcW w:w="4600" w:type="dxa"/>
            <w:tcMar>
              <w:top w:w="70" w:type="dxa"/>
              <w:left w:w="100" w:type="dxa"/>
              <w:bottom w:w="70" w:type="dxa"/>
              <w:right w:w="100" w:type="dxa"/>
            </w:tcMar>
          </w:tcPr>
          <w:p w:rsidR="00715923" w:rsidRPr="00F36C89" w:rsidRDefault="007E7FEE">
            <w:pPr>
              <w:rPr>
                <w:sz w:val="32"/>
                <w:szCs w:val="32"/>
              </w:rPr>
            </w:pPr>
            <w:r w:rsidRPr="00F36C89">
              <w:rPr>
                <w:sz w:val="24"/>
                <w:szCs w:val="24"/>
              </w:rPr>
              <w:t>Pending class lists or approved counts</w:t>
            </w:r>
          </w:p>
        </w:tc>
      </w:tr>
      <w:tr w:rsidR="00715923" w:rsidRPr="00F36C89">
        <w:tblPrEx>
          <w:tblCellMar>
            <w:top w:w="0" w:type="dxa"/>
            <w:bottom w:w="0" w:type="dxa"/>
          </w:tblCellMar>
        </w:tblPrEx>
        <w:tc>
          <w:tcPr>
            <w:tcW w:w="3200" w:type="dxa"/>
            <w:tcMar>
              <w:top w:w="70" w:type="dxa"/>
              <w:left w:w="100" w:type="dxa"/>
              <w:bottom w:w="70" w:type="dxa"/>
              <w:right w:w="100" w:type="dxa"/>
            </w:tcMar>
          </w:tcPr>
          <w:p w:rsidR="00715923" w:rsidRPr="00F36C89" w:rsidRDefault="007E7FEE">
            <w:pPr>
              <w:rPr>
                <w:sz w:val="32"/>
                <w:szCs w:val="32"/>
              </w:rPr>
            </w:pPr>
            <w:r w:rsidRPr="00F36C89">
              <w:rPr>
                <w:sz w:val="24"/>
                <w:szCs w:val="24"/>
              </w:rPr>
              <w:t>Guardian permissions returned</w:t>
            </w:r>
          </w:p>
        </w:tc>
        <w:tc>
          <w:tcPr>
            <w:tcW w:w="1200" w:type="dxa"/>
            <w:tcMar>
              <w:top w:w="70" w:type="dxa"/>
              <w:left w:w="100" w:type="dxa"/>
              <w:bottom w:w="70" w:type="dxa"/>
              <w:right w:w="100" w:type="dxa"/>
            </w:tcMar>
          </w:tcPr>
          <w:p w:rsidR="00715923" w:rsidRPr="00F36C89" w:rsidRDefault="007E7FEE">
            <w:pPr>
              <w:rPr>
                <w:sz w:val="32"/>
                <w:szCs w:val="32"/>
              </w:rPr>
            </w:pPr>
            <w:r w:rsidRPr="00F36C89">
              <w:rPr>
                <w:sz w:val="24"/>
                <w:szCs w:val="24"/>
              </w:rPr>
              <w:t>—</w:t>
            </w:r>
          </w:p>
        </w:tc>
        <w:tc>
          <w:tcPr>
            <w:tcW w:w="4600" w:type="dxa"/>
            <w:tcMar>
              <w:top w:w="70" w:type="dxa"/>
              <w:left w:w="100" w:type="dxa"/>
              <w:bottom w:w="70" w:type="dxa"/>
              <w:right w:w="100" w:type="dxa"/>
            </w:tcMar>
          </w:tcPr>
          <w:p w:rsidR="00715923" w:rsidRPr="00F36C89" w:rsidRDefault="007E7FEE">
            <w:pPr>
              <w:rPr>
                <w:sz w:val="32"/>
                <w:szCs w:val="32"/>
              </w:rPr>
            </w:pPr>
            <w:r w:rsidRPr="00F36C89">
              <w:rPr>
                <w:sz w:val="24"/>
                <w:szCs w:val="24"/>
              </w:rPr>
              <w:t>Pending consent process</w:t>
            </w:r>
          </w:p>
        </w:tc>
      </w:tr>
      <w:tr w:rsidR="00715923" w:rsidRPr="00F36C89">
        <w:tblPrEx>
          <w:tblCellMar>
            <w:top w:w="0" w:type="dxa"/>
            <w:bottom w:w="0" w:type="dxa"/>
          </w:tblCellMar>
        </w:tblPrEx>
        <w:tc>
          <w:tcPr>
            <w:tcW w:w="3200" w:type="dxa"/>
            <w:tcMar>
              <w:top w:w="70" w:type="dxa"/>
              <w:left w:w="100" w:type="dxa"/>
              <w:bottom w:w="70" w:type="dxa"/>
              <w:right w:w="100" w:type="dxa"/>
            </w:tcMar>
          </w:tcPr>
          <w:p w:rsidR="00715923" w:rsidRPr="00F36C89" w:rsidRDefault="007E7FEE">
            <w:pPr>
              <w:rPr>
                <w:sz w:val="32"/>
                <w:szCs w:val="32"/>
              </w:rPr>
            </w:pPr>
            <w:r w:rsidRPr="00F36C89">
              <w:rPr>
                <w:sz w:val="24"/>
                <w:szCs w:val="24"/>
              </w:rPr>
              <w:t>Student assents provided</w:t>
            </w:r>
          </w:p>
        </w:tc>
        <w:tc>
          <w:tcPr>
            <w:tcW w:w="1200" w:type="dxa"/>
            <w:tcMar>
              <w:top w:w="70" w:type="dxa"/>
              <w:left w:w="100" w:type="dxa"/>
              <w:bottom w:w="70" w:type="dxa"/>
              <w:right w:w="100" w:type="dxa"/>
            </w:tcMar>
          </w:tcPr>
          <w:p w:rsidR="00715923" w:rsidRPr="00F36C89" w:rsidRDefault="007E7FEE">
            <w:pPr>
              <w:rPr>
                <w:sz w:val="32"/>
                <w:szCs w:val="32"/>
              </w:rPr>
            </w:pPr>
            <w:r w:rsidRPr="00F36C89">
              <w:rPr>
                <w:sz w:val="24"/>
                <w:szCs w:val="24"/>
              </w:rPr>
              <w:t>—</w:t>
            </w:r>
          </w:p>
        </w:tc>
        <w:tc>
          <w:tcPr>
            <w:tcW w:w="4600" w:type="dxa"/>
            <w:tcMar>
              <w:top w:w="70" w:type="dxa"/>
              <w:left w:w="100" w:type="dxa"/>
              <w:bottom w:w="70" w:type="dxa"/>
              <w:right w:w="100" w:type="dxa"/>
            </w:tcMar>
          </w:tcPr>
          <w:p w:rsidR="00715923" w:rsidRPr="00F36C89" w:rsidRDefault="007E7FEE">
            <w:pPr>
              <w:rPr>
                <w:sz w:val="32"/>
                <w:szCs w:val="32"/>
              </w:rPr>
            </w:pPr>
            <w:r w:rsidRPr="00F36C89">
              <w:rPr>
                <w:sz w:val="24"/>
                <w:szCs w:val="24"/>
              </w:rPr>
              <w:t>Pending assent process</w:t>
            </w:r>
          </w:p>
        </w:tc>
      </w:tr>
      <w:tr w:rsidR="00715923" w:rsidRPr="00F36C89">
        <w:tblPrEx>
          <w:tblCellMar>
            <w:top w:w="0" w:type="dxa"/>
            <w:bottom w:w="0" w:type="dxa"/>
          </w:tblCellMar>
        </w:tblPrEx>
        <w:tc>
          <w:tcPr>
            <w:tcW w:w="3200" w:type="dxa"/>
            <w:tcMar>
              <w:top w:w="70" w:type="dxa"/>
              <w:left w:w="100" w:type="dxa"/>
              <w:bottom w:w="70" w:type="dxa"/>
              <w:right w:w="100" w:type="dxa"/>
            </w:tcMar>
          </w:tcPr>
          <w:p w:rsidR="00715923" w:rsidRPr="00F36C89" w:rsidRDefault="007E7FEE">
            <w:pPr>
              <w:rPr>
                <w:sz w:val="32"/>
                <w:szCs w:val="32"/>
              </w:rPr>
            </w:pPr>
            <w:r w:rsidRPr="00F36C89">
              <w:rPr>
                <w:sz w:val="24"/>
                <w:szCs w:val="24"/>
              </w:rPr>
              <w:t>Surveys submitted</w:t>
            </w:r>
          </w:p>
        </w:tc>
        <w:tc>
          <w:tcPr>
            <w:tcW w:w="1200" w:type="dxa"/>
            <w:tcMar>
              <w:top w:w="70" w:type="dxa"/>
              <w:left w:w="100" w:type="dxa"/>
              <w:bottom w:w="70" w:type="dxa"/>
              <w:right w:w="100" w:type="dxa"/>
            </w:tcMar>
          </w:tcPr>
          <w:p w:rsidR="00715923" w:rsidRPr="00F36C89" w:rsidRDefault="007E7FEE">
            <w:pPr>
              <w:rPr>
                <w:sz w:val="32"/>
                <w:szCs w:val="32"/>
              </w:rPr>
            </w:pPr>
            <w:r w:rsidRPr="00F36C89">
              <w:rPr>
                <w:sz w:val="24"/>
                <w:szCs w:val="24"/>
              </w:rPr>
              <w:t>—</w:t>
            </w:r>
          </w:p>
        </w:tc>
        <w:tc>
          <w:tcPr>
            <w:tcW w:w="4600" w:type="dxa"/>
            <w:tcMar>
              <w:top w:w="70" w:type="dxa"/>
              <w:left w:w="100" w:type="dxa"/>
              <w:bottom w:w="70" w:type="dxa"/>
              <w:right w:w="100" w:type="dxa"/>
            </w:tcMar>
          </w:tcPr>
          <w:p w:rsidR="00715923" w:rsidRPr="00F36C89" w:rsidRDefault="007E7FEE">
            <w:pPr>
              <w:rPr>
                <w:sz w:val="32"/>
                <w:szCs w:val="32"/>
              </w:rPr>
            </w:pPr>
            <w:r w:rsidRPr="00F36C89">
              <w:rPr>
                <w:sz w:val="24"/>
                <w:szCs w:val="24"/>
              </w:rPr>
              <w:t>Pending data collection</w:t>
            </w:r>
          </w:p>
        </w:tc>
      </w:tr>
      <w:tr w:rsidR="00715923" w:rsidRPr="00F36C89">
        <w:tblPrEx>
          <w:tblCellMar>
            <w:top w:w="0" w:type="dxa"/>
            <w:bottom w:w="0" w:type="dxa"/>
          </w:tblCellMar>
        </w:tblPrEx>
        <w:tc>
          <w:tcPr>
            <w:tcW w:w="3200" w:type="dxa"/>
            <w:tcMar>
              <w:top w:w="70" w:type="dxa"/>
              <w:left w:w="100" w:type="dxa"/>
              <w:bottom w:w="70" w:type="dxa"/>
              <w:right w:w="100" w:type="dxa"/>
            </w:tcMar>
          </w:tcPr>
          <w:p w:rsidR="00715923" w:rsidRPr="00F36C89" w:rsidRDefault="007E7FEE">
            <w:pPr>
              <w:rPr>
                <w:sz w:val="32"/>
                <w:szCs w:val="32"/>
              </w:rPr>
            </w:pPr>
            <w:r w:rsidRPr="00F36C89">
              <w:rPr>
                <w:sz w:val="24"/>
                <w:szCs w:val="24"/>
              </w:rPr>
              <w:t>Surveys excluded</w:t>
            </w:r>
          </w:p>
        </w:tc>
        <w:tc>
          <w:tcPr>
            <w:tcW w:w="1200" w:type="dxa"/>
            <w:tcMar>
              <w:top w:w="70" w:type="dxa"/>
              <w:left w:w="100" w:type="dxa"/>
              <w:bottom w:w="70" w:type="dxa"/>
              <w:right w:w="100" w:type="dxa"/>
            </w:tcMar>
          </w:tcPr>
          <w:p w:rsidR="00715923" w:rsidRPr="00F36C89" w:rsidRDefault="007E7FEE">
            <w:pPr>
              <w:rPr>
                <w:sz w:val="32"/>
                <w:szCs w:val="32"/>
              </w:rPr>
            </w:pPr>
            <w:r w:rsidRPr="00F36C89">
              <w:rPr>
                <w:sz w:val="24"/>
                <w:szCs w:val="24"/>
              </w:rPr>
              <w:t>—</w:t>
            </w:r>
          </w:p>
        </w:tc>
        <w:tc>
          <w:tcPr>
            <w:tcW w:w="4600" w:type="dxa"/>
            <w:tcMar>
              <w:top w:w="70" w:type="dxa"/>
              <w:left w:w="100" w:type="dxa"/>
              <w:bottom w:w="70" w:type="dxa"/>
              <w:right w:w="100" w:type="dxa"/>
            </w:tcMar>
          </w:tcPr>
          <w:p w:rsidR="00715923" w:rsidRPr="00F36C89" w:rsidRDefault="007E7FEE">
            <w:pPr>
              <w:rPr>
                <w:sz w:val="32"/>
                <w:szCs w:val="32"/>
              </w:rPr>
            </w:pPr>
            <w:r w:rsidRPr="00F36C89">
              <w:rPr>
                <w:sz w:val="24"/>
                <w:szCs w:val="24"/>
              </w:rPr>
              <w:t>Report each prespecified reason</w:t>
            </w:r>
          </w:p>
        </w:tc>
      </w:tr>
      <w:tr w:rsidR="00715923" w:rsidRPr="00F36C89">
        <w:tblPrEx>
          <w:tblCellMar>
            <w:top w:w="0" w:type="dxa"/>
            <w:bottom w:w="0" w:type="dxa"/>
          </w:tblCellMar>
        </w:tblPrEx>
        <w:tc>
          <w:tcPr>
            <w:tcW w:w="3200" w:type="dxa"/>
            <w:tcMar>
              <w:top w:w="70" w:type="dxa"/>
              <w:left w:w="100" w:type="dxa"/>
              <w:bottom w:w="70" w:type="dxa"/>
              <w:right w:w="100" w:type="dxa"/>
            </w:tcMar>
          </w:tcPr>
          <w:p w:rsidR="00715923" w:rsidRPr="00F36C89" w:rsidRDefault="007E7FEE">
            <w:pPr>
              <w:rPr>
                <w:sz w:val="32"/>
                <w:szCs w:val="32"/>
              </w:rPr>
            </w:pPr>
            <w:r w:rsidRPr="00F36C89">
              <w:rPr>
                <w:sz w:val="24"/>
                <w:szCs w:val="24"/>
              </w:rPr>
              <w:t>Final analytic sample</w:t>
            </w:r>
          </w:p>
        </w:tc>
        <w:tc>
          <w:tcPr>
            <w:tcW w:w="1200" w:type="dxa"/>
            <w:tcMar>
              <w:top w:w="70" w:type="dxa"/>
              <w:left w:w="100" w:type="dxa"/>
              <w:bottom w:w="70" w:type="dxa"/>
              <w:right w:w="100" w:type="dxa"/>
            </w:tcMar>
          </w:tcPr>
          <w:p w:rsidR="00715923" w:rsidRPr="00F36C89" w:rsidRDefault="007E7FEE">
            <w:pPr>
              <w:rPr>
                <w:sz w:val="32"/>
                <w:szCs w:val="32"/>
              </w:rPr>
            </w:pPr>
            <w:r w:rsidRPr="00F36C89">
              <w:rPr>
                <w:sz w:val="24"/>
                <w:szCs w:val="24"/>
              </w:rPr>
              <w:t>—</w:t>
            </w:r>
          </w:p>
        </w:tc>
        <w:tc>
          <w:tcPr>
            <w:tcW w:w="4600" w:type="dxa"/>
            <w:tcMar>
              <w:top w:w="70" w:type="dxa"/>
              <w:left w:w="100" w:type="dxa"/>
              <w:bottom w:w="70" w:type="dxa"/>
              <w:right w:w="100" w:type="dxa"/>
            </w:tcMar>
          </w:tcPr>
          <w:p w:rsidR="00715923" w:rsidRPr="00F36C89" w:rsidRDefault="007E7FEE">
            <w:pPr>
              <w:rPr>
                <w:sz w:val="32"/>
                <w:szCs w:val="32"/>
              </w:rPr>
            </w:pPr>
            <w:r w:rsidRPr="00F36C89">
              <w:rPr>
                <w:sz w:val="24"/>
                <w:szCs w:val="24"/>
              </w:rPr>
              <w:t>Pending cleaning and eligibility checks</w:t>
            </w:r>
          </w:p>
        </w:tc>
      </w:tr>
    </w:tbl>
    <w:p w:rsidR="00715923" w:rsidRPr="00F36C89" w:rsidRDefault="007E7FEE">
      <w:pPr>
        <w:spacing w:after="200"/>
        <w:jc w:val="both"/>
        <w:rPr>
          <w:sz w:val="32"/>
          <w:szCs w:val="32"/>
        </w:rPr>
      </w:pPr>
      <w:r w:rsidRPr="00F36C89">
        <w:rPr>
          <w:color w:val="595959"/>
          <w:sz w:val="24"/>
          <w:szCs w:val="24"/>
        </w:rPr>
        <w:t>Note. An em dash indicates that no genuine value is currently available; it is not zero.</w:t>
      </w:r>
    </w:p>
    <w:p w:rsidR="00715923" w:rsidRPr="00F36C89" w:rsidRDefault="007E7FEE">
      <w:pPr>
        <w:pStyle w:val="Heading2"/>
        <w:keepNext/>
        <w:spacing w:before="260" w:after="120"/>
        <w:rPr>
          <w:sz w:val="32"/>
          <w:szCs w:val="32"/>
        </w:rPr>
      </w:pPr>
      <w:r w:rsidRPr="00F36C89">
        <w:rPr>
          <w:b/>
          <w:bCs/>
          <w:color w:val="1F7A8C"/>
          <w:sz w:val="36"/>
          <w:szCs w:val="36"/>
        </w:rPr>
        <w:t>6.2 Descriptive findings</w:t>
      </w:r>
    </w:p>
    <w:p w:rsidR="00715923" w:rsidRPr="00F36C89" w:rsidRDefault="007E7FEE">
      <w:pPr>
        <w:spacing w:after="140"/>
        <w:jc w:val="both"/>
        <w:rPr>
          <w:sz w:val="32"/>
          <w:szCs w:val="32"/>
        </w:rPr>
      </w:pPr>
      <w:r w:rsidRPr="00F36C89">
        <w:rPr>
          <w:sz w:val="32"/>
          <w:szCs w:val="32"/>
        </w:rPr>
        <w:t>Future report: present attention to news, pl</w:t>
      </w:r>
      <w:r w:rsidRPr="00F36C89">
        <w:rPr>
          <w:sz w:val="32"/>
          <w:szCs w:val="32"/>
        </w:rPr>
        <w:t>atform repertoire, frequency and purposes of news use, group forwarding, and prior instruction, followed by item-level and validated dimension summaries. Report low engagement and news avoidance as meaningful categories rather than as missing data. Use den</w:t>
      </w:r>
      <w:r w:rsidRPr="00F36C89">
        <w:rPr>
          <w:sz w:val="32"/>
          <w:szCs w:val="32"/>
        </w:rPr>
        <w:t>ominators that reflect skip patterns and missing responses. Where percentages are compared, provide confidence intervals and raw counts.</w:t>
      </w:r>
    </w:p>
    <w:p w:rsidR="00715923" w:rsidRPr="00F36C89" w:rsidRDefault="007E7FEE">
      <w:pPr>
        <w:keepNext/>
        <w:spacing w:before="200" w:after="80"/>
        <w:rPr>
          <w:sz w:val="32"/>
          <w:szCs w:val="32"/>
        </w:rPr>
      </w:pPr>
      <w:r w:rsidRPr="00F36C89">
        <w:rPr>
          <w:b/>
          <w:bCs/>
          <w:color w:val="1F3864"/>
          <w:sz w:val="28"/>
          <w:szCs w:val="28"/>
        </w:rPr>
        <w:t>Table 5. Core descriptive indicators — reporting shell</w:t>
      </w:r>
    </w:p>
    <w:tbl>
      <w:tblPr>
        <w:tblW w:w="9000" w:type="dxa"/>
        <w:tblBorders>
          <w:top w:val="single" w:sz="4" w:space="0" w:color="BFC9D6"/>
          <w:left w:val="single" w:sz="4" w:space="0" w:color="BFC9D6"/>
          <w:bottom w:val="single" w:sz="4" w:space="0" w:color="BFC9D6"/>
          <w:right w:val="single" w:sz="4" w:space="0" w:color="BFC9D6"/>
          <w:insideH w:val="single" w:sz="4" w:space="0" w:color="BFC9D6"/>
          <w:insideV w:val="single" w:sz="4" w:space="0" w:color="BFC9D6"/>
        </w:tblBorders>
        <w:tblCellMar>
          <w:left w:w="10" w:type="dxa"/>
          <w:right w:w="10" w:type="dxa"/>
        </w:tblCellMar>
        <w:tblLook w:val="04A0" w:firstRow="1" w:lastRow="0" w:firstColumn="1" w:lastColumn="0" w:noHBand="0" w:noVBand="1"/>
      </w:tblPr>
      <w:tblGrid>
        <w:gridCol w:w="3700"/>
        <w:gridCol w:w="2500"/>
        <w:gridCol w:w="1400"/>
        <w:gridCol w:w="1400"/>
      </w:tblGrid>
      <w:tr w:rsidR="00715923" w:rsidRPr="00F36C89">
        <w:tblPrEx>
          <w:tblCellMar>
            <w:top w:w="0" w:type="dxa"/>
            <w:bottom w:w="0" w:type="dxa"/>
          </w:tblCellMar>
        </w:tblPrEx>
        <w:trPr>
          <w:tblHeader/>
        </w:trPr>
        <w:tc>
          <w:tcPr>
            <w:tcW w:w="3700" w:type="dxa"/>
            <w:shd w:val="clear" w:color="auto" w:fill="1F3864"/>
            <w:tcMar>
              <w:top w:w="70" w:type="dxa"/>
              <w:left w:w="100" w:type="dxa"/>
              <w:bottom w:w="70" w:type="dxa"/>
              <w:right w:w="100" w:type="dxa"/>
            </w:tcMar>
          </w:tcPr>
          <w:p w:rsidR="00715923" w:rsidRPr="00F36C89" w:rsidRDefault="007E7FEE">
            <w:pPr>
              <w:rPr>
                <w:sz w:val="32"/>
                <w:szCs w:val="32"/>
              </w:rPr>
            </w:pPr>
            <w:r w:rsidRPr="00F36C89">
              <w:rPr>
                <w:b/>
                <w:bCs/>
                <w:color w:val="FFFFFF"/>
                <w:sz w:val="24"/>
                <w:szCs w:val="24"/>
              </w:rPr>
              <w:t>Indicator</w:t>
            </w:r>
          </w:p>
        </w:tc>
        <w:tc>
          <w:tcPr>
            <w:tcW w:w="2500" w:type="dxa"/>
            <w:shd w:val="clear" w:color="auto" w:fill="1F3864"/>
            <w:tcMar>
              <w:top w:w="70" w:type="dxa"/>
              <w:left w:w="100" w:type="dxa"/>
              <w:bottom w:w="70" w:type="dxa"/>
              <w:right w:w="100" w:type="dxa"/>
            </w:tcMar>
          </w:tcPr>
          <w:p w:rsidR="00715923" w:rsidRPr="00F36C89" w:rsidRDefault="007E7FEE">
            <w:pPr>
              <w:rPr>
                <w:sz w:val="32"/>
                <w:szCs w:val="32"/>
              </w:rPr>
            </w:pPr>
            <w:r w:rsidRPr="00F36C89">
              <w:rPr>
                <w:b/>
                <w:bCs/>
                <w:color w:val="FFFFFF"/>
                <w:sz w:val="24"/>
                <w:szCs w:val="24"/>
              </w:rPr>
              <w:t>Planned statistic</w:t>
            </w:r>
          </w:p>
        </w:tc>
        <w:tc>
          <w:tcPr>
            <w:tcW w:w="1400" w:type="dxa"/>
            <w:shd w:val="clear" w:color="auto" w:fill="1F3864"/>
            <w:tcMar>
              <w:top w:w="70" w:type="dxa"/>
              <w:left w:w="100" w:type="dxa"/>
              <w:bottom w:w="70" w:type="dxa"/>
              <w:right w:w="100" w:type="dxa"/>
            </w:tcMar>
          </w:tcPr>
          <w:p w:rsidR="00715923" w:rsidRPr="00F36C89" w:rsidRDefault="007E7FEE">
            <w:pPr>
              <w:rPr>
                <w:sz w:val="32"/>
                <w:szCs w:val="32"/>
              </w:rPr>
            </w:pPr>
            <w:r w:rsidRPr="00F36C89">
              <w:rPr>
                <w:b/>
                <w:bCs/>
                <w:color w:val="FFFFFF"/>
                <w:sz w:val="24"/>
                <w:szCs w:val="24"/>
              </w:rPr>
              <w:t>Estimate</w:t>
            </w:r>
          </w:p>
        </w:tc>
        <w:tc>
          <w:tcPr>
            <w:tcW w:w="1400" w:type="dxa"/>
            <w:shd w:val="clear" w:color="auto" w:fill="1F3864"/>
            <w:tcMar>
              <w:top w:w="70" w:type="dxa"/>
              <w:left w:w="100" w:type="dxa"/>
              <w:bottom w:w="70" w:type="dxa"/>
              <w:right w:w="100" w:type="dxa"/>
            </w:tcMar>
          </w:tcPr>
          <w:p w:rsidR="00715923" w:rsidRPr="00F36C89" w:rsidRDefault="007E7FEE">
            <w:pPr>
              <w:rPr>
                <w:sz w:val="32"/>
                <w:szCs w:val="32"/>
              </w:rPr>
            </w:pPr>
            <w:r w:rsidRPr="00F36C89">
              <w:rPr>
                <w:b/>
                <w:bCs/>
                <w:color w:val="FFFFFF"/>
                <w:sz w:val="24"/>
                <w:szCs w:val="24"/>
              </w:rPr>
              <w:t>95% CI</w:t>
            </w:r>
          </w:p>
        </w:tc>
      </w:tr>
      <w:tr w:rsidR="00715923" w:rsidRPr="00F36C89">
        <w:tblPrEx>
          <w:tblCellMar>
            <w:top w:w="0" w:type="dxa"/>
            <w:bottom w:w="0" w:type="dxa"/>
          </w:tblCellMar>
        </w:tblPrEx>
        <w:tc>
          <w:tcPr>
            <w:tcW w:w="3700" w:type="dxa"/>
            <w:tcMar>
              <w:top w:w="70" w:type="dxa"/>
              <w:left w:w="100" w:type="dxa"/>
              <w:bottom w:w="70" w:type="dxa"/>
              <w:right w:w="100" w:type="dxa"/>
            </w:tcMar>
          </w:tcPr>
          <w:p w:rsidR="00715923" w:rsidRPr="00F36C89" w:rsidRDefault="007E7FEE">
            <w:pPr>
              <w:rPr>
                <w:sz w:val="32"/>
                <w:szCs w:val="32"/>
              </w:rPr>
            </w:pPr>
            <w:r w:rsidRPr="00F36C89">
              <w:rPr>
                <w:sz w:val="24"/>
                <w:szCs w:val="24"/>
              </w:rPr>
              <w:t>Follows news at least weekly</w:t>
            </w:r>
          </w:p>
        </w:tc>
        <w:tc>
          <w:tcPr>
            <w:tcW w:w="2500" w:type="dxa"/>
            <w:tcMar>
              <w:top w:w="70" w:type="dxa"/>
              <w:left w:w="100" w:type="dxa"/>
              <w:bottom w:w="70" w:type="dxa"/>
              <w:right w:w="100" w:type="dxa"/>
            </w:tcMar>
          </w:tcPr>
          <w:p w:rsidR="00715923" w:rsidRPr="00F36C89" w:rsidRDefault="007E7FEE">
            <w:pPr>
              <w:rPr>
                <w:sz w:val="32"/>
                <w:szCs w:val="32"/>
              </w:rPr>
            </w:pPr>
            <w:r w:rsidRPr="00F36C89">
              <w:rPr>
                <w:sz w:val="24"/>
                <w:szCs w:val="24"/>
              </w:rPr>
              <w:t>n/N (%)</w:t>
            </w:r>
          </w:p>
        </w:tc>
        <w:tc>
          <w:tcPr>
            <w:tcW w:w="1400" w:type="dxa"/>
            <w:tcMar>
              <w:top w:w="70" w:type="dxa"/>
              <w:left w:w="100" w:type="dxa"/>
              <w:bottom w:w="70" w:type="dxa"/>
              <w:right w:w="100" w:type="dxa"/>
            </w:tcMar>
          </w:tcPr>
          <w:p w:rsidR="00715923" w:rsidRPr="00F36C89" w:rsidRDefault="007E7FEE">
            <w:pPr>
              <w:rPr>
                <w:sz w:val="32"/>
                <w:szCs w:val="32"/>
              </w:rPr>
            </w:pPr>
            <w:r w:rsidRPr="00F36C89">
              <w:rPr>
                <w:sz w:val="24"/>
                <w:szCs w:val="24"/>
              </w:rPr>
              <w:t>—</w:t>
            </w:r>
          </w:p>
        </w:tc>
        <w:tc>
          <w:tcPr>
            <w:tcW w:w="1400" w:type="dxa"/>
            <w:tcMar>
              <w:top w:w="70" w:type="dxa"/>
              <w:left w:w="100" w:type="dxa"/>
              <w:bottom w:w="70" w:type="dxa"/>
              <w:right w:w="100" w:type="dxa"/>
            </w:tcMar>
          </w:tcPr>
          <w:p w:rsidR="00715923" w:rsidRPr="00F36C89" w:rsidRDefault="007E7FEE">
            <w:pPr>
              <w:rPr>
                <w:sz w:val="32"/>
                <w:szCs w:val="32"/>
              </w:rPr>
            </w:pPr>
            <w:r w:rsidRPr="00F36C89">
              <w:rPr>
                <w:sz w:val="24"/>
                <w:szCs w:val="24"/>
              </w:rPr>
              <w:t>—</w:t>
            </w:r>
          </w:p>
        </w:tc>
      </w:tr>
      <w:tr w:rsidR="00715923" w:rsidRPr="00F36C89">
        <w:tblPrEx>
          <w:tblCellMar>
            <w:top w:w="0" w:type="dxa"/>
            <w:bottom w:w="0" w:type="dxa"/>
          </w:tblCellMar>
        </w:tblPrEx>
        <w:tc>
          <w:tcPr>
            <w:tcW w:w="3700" w:type="dxa"/>
            <w:tcMar>
              <w:top w:w="70" w:type="dxa"/>
              <w:left w:w="100" w:type="dxa"/>
              <w:bottom w:w="70" w:type="dxa"/>
              <w:right w:w="100" w:type="dxa"/>
            </w:tcMar>
          </w:tcPr>
          <w:p w:rsidR="00715923" w:rsidRPr="00F36C89" w:rsidRDefault="007E7FEE">
            <w:pPr>
              <w:rPr>
                <w:sz w:val="32"/>
                <w:szCs w:val="32"/>
              </w:rPr>
            </w:pPr>
            <w:r w:rsidRPr="00F36C89">
              <w:rPr>
                <w:sz w:val="24"/>
                <w:szCs w:val="24"/>
              </w:rPr>
              <w:lastRenderedPageBreak/>
              <w:t>Uses a social or video platform as a main news route</w:t>
            </w:r>
          </w:p>
        </w:tc>
        <w:tc>
          <w:tcPr>
            <w:tcW w:w="2500" w:type="dxa"/>
            <w:tcMar>
              <w:top w:w="70" w:type="dxa"/>
              <w:left w:w="100" w:type="dxa"/>
              <w:bottom w:w="70" w:type="dxa"/>
              <w:right w:w="100" w:type="dxa"/>
            </w:tcMar>
          </w:tcPr>
          <w:p w:rsidR="00715923" w:rsidRPr="00F36C89" w:rsidRDefault="007E7FEE">
            <w:pPr>
              <w:rPr>
                <w:sz w:val="32"/>
                <w:szCs w:val="32"/>
              </w:rPr>
            </w:pPr>
            <w:r w:rsidRPr="00F36C89">
              <w:rPr>
                <w:sz w:val="24"/>
                <w:szCs w:val="24"/>
              </w:rPr>
              <w:t>n/N (%)</w:t>
            </w:r>
          </w:p>
        </w:tc>
        <w:tc>
          <w:tcPr>
            <w:tcW w:w="1400" w:type="dxa"/>
            <w:tcMar>
              <w:top w:w="70" w:type="dxa"/>
              <w:left w:w="100" w:type="dxa"/>
              <w:bottom w:w="70" w:type="dxa"/>
              <w:right w:w="100" w:type="dxa"/>
            </w:tcMar>
          </w:tcPr>
          <w:p w:rsidR="00715923" w:rsidRPr="00F36C89" w:rsidRDefault="007E7FEE">
            <w:pPr>
              <w:rPr>
                <w:sz w:val="32"/>
                <w:szCs w:val="32"/>
              </w:rPr>
            </w:pPr>
            <w:r w:rsidRPr="00F36C89">
              <w:rPr>
                <w:sz w:val="24"/>
                <w:szCs w:val="24"/>
              </w:rPr>
              <w:t>—</w:t>
            </w:r>
          </w:p>
        </w:tc>
        <w:tc>
          <w:tcPr>
            <w:tcW w:w="1400" w:type="dxa"/>
            <w:tcMar>
              <w:top w:w="70" w:type="dxa"/>
              <w:left w:w="100" w:type="dxa"/>
              <w:bottom w:w="70" w:type="dxa"/>
              <w:right w:w="100" w:type="dxa"/>
            </w:tcMar>
          </w:tcPr>
          <w:p w:rsidR="00715923" w:rsidRPr="00F36C89" w:rsidRDefault="007E7FEE">
            <w:pPr>
              <w:rPr>
                <w:sz w:val="32"/>
                <w:szCs w:val="32"/>
              </w:rPr>
            </w:pPr>
            <w:r w:rsidRPr="00F36C89">
              <w:rPr>
                <w:sz w:val="24"/>
                <w:szCs w:val="24"/>
              </w:rPr>
              <w:t>—</w:t>
            </w:r>
          </w:p>
        </w:tc>
      </w:tr>
      <w:tr w:rsidR="00715923" w:rsidRPr="00F36C89">
        <w:tblPrEx>
          <w:tblCellMar>
            <w:top w:w="0" w:type="dxa"/>
            <w:bottom w:w="0" w:type="dxa"/>
          </w:tblCellMar>
        </w:tblPrEx>
        <w:tc>
          <w:tcPr>
            <w:tcW w:w="3700" w:type="dxa"/>
            <w:tcMar>
              <w:top w:w="70" w:type="dxa"/>
              <w:left w:w="100" w:type="dxa"/>
              <w:bottom w:w="70" w:type="dxa"/>
              <w:right w:w="100" w:type="dxa"/>
            </w:tcMar>
          </w:tcPr>
          <w:p w:rsidR="00715923" w:rsidRPr="00F36C89" w:rsidRDefault="007E7FEE">
            <w:pPr>
              <w:rPr>
                <w:sz w:val="32"/>
                <w:szCs w:val="32"/>
              </w:rPr>
            </w:pPr>
            <w:r w:rsidRPr="00F36C89">
              <w:rPr>
                <w:sz w:val="24"/>
                <w:szCs w:val="24"/>
              </w:rPr>
              <w:t>Receives news through a messaging group</w:t>
            </w:r>
          </w:p>
        </w:tc>
        <w:tc>
          <w:tcPr>
            <w:tcW w:w="2500" w:type="dxa"/>
            <w:tcMar>
              <w:top w:w="70" w:type="dxa"/>
              <w:left w:w="100" w:type="dxa"/>
              <w:bottom w:w="70" w:type="dxa"/>
              <w:right w:w="100" w:type="dxa"/>
            </w:tcMar>
          </w:tcPr>
          <w:p w:rsidR="00715923" w:rsidRPr="00F36C89" w:rsidRDefault="007E7FEE">
            <w:pPr>
              <w:rPr>
                <w:sz w:val="32"/>
                <w:szCs w:val="32"/>
              </w:rPr>
            </w:pPr>
            <w:r w:rsidRPr="00F36C89">
              <w:rPr>
                <w:sz w:val="24"/>
                <w:szCs w:val="24"/>
              </w:rPr>
              <w:t>n/N (%)</w:t>
            </w:r>
          </w:p>
        </w:tc>
        <w:tc>
          <w:tcPr>
            <w:tcW w:w="1400" w:type="dxa"/>
            <w:tcMar>
              <w:top w:w="70" w:type="dxa"/>
              <w:left w:w="100" w:type="dxa"/>
              <w:bottom w:w="70" w:type="dxa"/>
              <w:right w:w="100" w:type="dxa"/>
            </w:tcMar>
          </w:tcPr>
          <w:p w:rsidR="00715923" w:rsidRPr="00F36C89" w:rsidRDefault="007E7FEE">
            <w:pPr>
              <w:rPr>
                <w:sz w:val="32"/>
                <w:szCs w:val="32"/>
              </w:rPr>
            </w:pPr>
            <w:r w:rsidRPr="00F36C89">
              <w:rPr>
                <w:sz w:val="24"/>
                <w:szCs w:val="24"/>
              </w:rPr>
              <w:t>—</w:t>
            </w:r>
          </w:p>
        </w:tc>
        <w:tc>
          <w:tcPr>
            <w:tcW w:w="1400" w:type="dxa"/>
            <w:tcMar>
              <w:top w:w="70" w:type="dxa"/>
              <w:left w:w="100" w:type="dxa"/>
              <w:bottom w:w="70" w:type="dxa"/>
              <w:right w:w="100" w:type="dxa"/>
            </w:tcMar>
          </w:tcPr>
          <w:p w:rsidR="00715923" w:rsidRPr="00F36C89" w:rsidRDefault="007E7FEE">
            <w:pPr>
              <w:rPr>
                <w:sz w:val="32"/>
                <w:szCs w:val="32"/>
              </w:rPr>
            </w:pPr>
            <w:r w:rsidRPr="00F36C89">
              <w:rPr>
                <w:sz w:val="24"/>
                <w:szCs w:val="24"/>
              </w:rPr>
              <w:t>—</w:t>
            </w:r>
          </w:p>
        </w:tc>
      </w:tr>
      <w:tr w:rsidR="00715923" w:rsidRPr="00F36C89">
        <w:tblPrEx>
          <w:tblCellMar>
            <w:top w:w="0" w:type="dxa"/>
            <w:bottom w:w="0" w:type="dxa"/>
          </w:tblCellMar>
        </w:tblPrEx>
        <w:tc>
          <w:tcPr>
            <w:tcW w:w="3700" w:type="dxa"/>
            <w:tcMar>
              <w:top w:w="70" w:type="dxa"/>
              <w:left w:w="100" w:type="dxa"/>
              <w:bottom w:w="70" w:type="dxa"/>
              <w:right w:w="100" w:type="dxa"/>
            </w:tcMar>
          </w:tcPr>
          <w:p w:rsidR="00715923" w:rsidRPr="00F36C89" w:rsidRDefault="007E7FEE">
            <w:pPr>
              <w:rPr>
                <w:sz w:val="32"/>
                <w:szCs w:val="32"/>
              </w:rPr>
            </w:pPr>
            <w:r w:rsidRPr="00F36C89">
              <w:rPr>
                <w:sz w:val="24"/>
                <w:szCs w:val="24"/>
              </w:rPr>
              <w:t>Reports prior media-literacy instruction</w:t>
            </w:r>
          </w:p>
        </w:tc>
        <w:tc>
          <w:tcPr>
            <w:tcW w:w="2500" w:type="dxa"/>
            <w:tcMar>
              <w:top w:w="70" w:type="dxa"/>
              <w:left w:w="100" w:type="dxa"/>
              <w:bottom w:w="70" w:type="dxa"/>
              <w:right w:w="100" w:type="dxa"/>
            </w:tcMar>
          </w:tcPr>
          <w:p w:rsidR="00715923" w:rsidRPr="00F36C89" w:rsidRDefault="007E7FEE">
            <w:pPr>
              <w:rPr>
                <w:sz w:val="32"/>
                <w:szCs w:val="32"/>
              </w:rPr>
            </w:pPr>
            <w:r w:rsidRPr="00F36C89">
              <w:rPr>
                <w:sz w:val="24"/>
                <w:szCs w:val="24"/>
              </w:rPr>
              <w:t>n/N (%)</w:t>
            </w:r>
          </w:p>
        </w:tc>
        <w:tc>
          <w:tcPr>
            <w:tcW w:w="1400" w:type="dxa"/>
            <w:tcMar>
              <w:top w:w="70" w:type="dxa"/>
              <w:left w:w="100" w:type="dxa"/>
              <w:bottom w:w="70" w:type="dxa"/>
              <w:right w:w="100" w:type="dxa"/>
            </w:tcMar>
          </w:tcPr>
          <w:p w:rsidR="00715923" w:rsidRPr="00F36C89" w:rsidRDefault="007E7FEE">
            <w:pPr>
              <w:rPr>
                <w:sz w:val="32"/>
                <w:szCs w:val="32"/>
              </w:rPr>
            </w:pPr>
            <w:r w:rsidRPr="00F36C89">
              <w:rPr>
                <w:sz w:val="24"/>
                <w:szCs w:val="24"/>
              </w:rPr>
              <w:t>—</w:t>
            </w:r>
          </w:p>
        </w:tc>
        <w:tc>
          <w:tcPr>
            <w:tcW w:w="1400" w:type="dxa"/>
            <w:tcMar>
              <w:top w:w="70" w:type="dxa"/>
              <w:left w:w="100" w:type="dxa"/>
              <w:bottom w:w="70" w:type="dxa"/>
              <w:right w:w="100" w:type="dxa"/>
            </w:tcMar>
          </w:tcPr>
          <w:p w:rsidR="00715923" w:rsidRPr="00F36C89" w:rsidRDefault="007E7FEE">
            <w:pPr>
              <w:rPr>
                <w:sz w:val="32"/>
                <w:szCs w:val="32"/>
              </w:rPr>
            </w:pPr>
            <w:r w:rsidRPr="00F36C89">
              <w:rPr>
                <w:sz w:val="24"/>
                <w:szCs w:val="24"/>
              </w:rPr>
              <w:t>—</w:t>
            </w:r>
          </w:p>
        </w:tc>
      </w:tr>
      <w:tr w:rsidR="00715923" w:rsidRPr="00F36C89">
        <w:tblPrEx>
          <w:tblCellMar>
            <w:top w:w="0" w:type="dxa"/>
            <w:bottom w:w="0" w:type="dxa"/>
          </w:tblCellMar>
        </w:tblPrEx>
        <w:tc>
          <w:tcPr>
            <w:tcW w:w="3700" w:type="dxa"/>
            <w:tcMar>
              <w:top w:w="70" w:type="dxa"/>
              <w:left w:w="100" w:type="dxa"/>
              <w:bottom w:w="70" w:type="dxa"/>
              <w:right w:w="100" w:type="dxa"/>
            </w:tcMar>
          </w:tcPr>
          <w:p w:rsidR="00715923" w:rsidRPr="00F36C89" w:rsidRDefault="007E7FEE">
            <w:pPr>
              <w:rPr>
                <w:sz w:val="32"/>
                <w:szCs w:val="32"/>
              </w:rPr>
            </w:pPr>
            <w:r w:rsidRPr="00F36C89">
              <w:rPr>
                <w:sz w:val="24"/>
                <w:szCs w:val="24"/>
              </w:rPr>
              <w:t>Algorithmic and personalisation awareness</w:t>
            </w:r>
          </w:p>
        </w:tc>
        <w:tc>
          <w:tcPr>
            <w:tcW w:w="2500" w:type="dxa"/>
            <w:tcMar>
              <w:top w:w="70" w:type="dxa"/>
              <w:left w:w="100" w:type="dxa"/>
              <w:bottom w:w="70" w:type="dxa"/>
              <w:right w:w="100" w:type="dxa"/>
            </w:tcMar>
          </w:tcPr>
          <w:p w:rsidR="00715923" w:rsidRPr="00F36C89" w:rsidRDefault="007E7FEE">
            <w:pPr>
              <w:rPr>
                <w:sz w:val="32"/>
                <w:szCs w:val="32"/>
              </w:rPr>
            </w:pPr>
            <w:r w:rsidRPr="00F36C89">
              <w:rPr>
                <w:sz w:val="24"/>
                <w:szCs w:val="24"/>
              </w:rPr>
              <w:t>Mean (SD) or median [IQR]</w:t>
            </w:r>
          </w:p>
        </w:tc>
        <w:tc>
          <w:tcPr>
            <w:tcW w:w="1400" w:type="dxa"/>
            <w:tcMar>
              <w:top w:w="70" w:type="dxa"/>
              <w:left w:w="100" w:type="dxa"/>
              <w:bottom w:w="70" w:type="dxa"/>
              <w:right w:w="100" w:type="dxa"/>
            </w:tcMar>
          </w:tcPr>
          <w:p w:rsidR="00715923" w:rsidRPr="00F36C89" w:rsidRDefault="007E7FEE">
            <w:pPr>
              <w:rPr>
                <w:sz w:val="32"/>
                <w:szCs w:val="32"/>
              </w:rPr>
            </w:pPr>
            <w:r w:rsidRPr="00F36C89">
              <w:rPr>
                <w:sz w:val="24"/>
                <w:szCs w:val="24"/>
              </w:rPr>
              <w:t>—</w:t>
            </w:r>
          </w:p>
        </w:tc>
        <w:tc>
          <w:tcPr>
            <w:tcW w:w="1400" w:type="dxa"/>
            <w:tcMar>
              <w:top w:w="70" w:type="dxa"/>
              <w:left w:w="100" w:type="dxa"/>
              <w:bottom w:w="70" w:type="dxa"/>
              <w:right w:w="100" w:type="dxa"/>
            </w:tcMar>
          </w:tcPr>
          <w:p w:rsidR="00715923" w:rsidRPr="00F36C89" w:rsidRDefault="007E7FEE">
            <w:pPr>
              <w:rPr>
                <w:sz w:val="32"/>
                <w:szCs w:val="32"/>
              </w:rPr>
            </w:pPr>
            <w:r w:rsidRPr="00F36C89">
              <w:rPr>
                <w:sz w:val="24"/>
                <w:szCs w:val="24"/>
              </w:rPr>
              <w:t>—</w:t>
            </w:r>
          </w:p>
        </w:tc>
      </w:tr>
      <w:tr w:rsidR="00715923" w:rsidRPr="00F36C89">
        <w:tblPrEx>
          <w:tblCellMar>
            <w:top w:w="0" w:type="dxa"/>
            <w:bottom w:w="0" w:type="dxa"/>
          </w:tblCellMar>
        </w:tblPrEx>
        <w:tc>
          <w:tcPr>
            <w:tcW w:w="3700" w:type="dxa"/>
            <w:tcMar>
              <w:top w:w="70" w:type="dxa"/>
              <w:left w:w="100" w:type="dxa"/>
              <w:bottom w:w="70" w:type="dxa"/>
              <w:right w:w="100" w:type="dxa"/>
            </w:tcMar>
          </w:tcPr>
          <w:p w:rsidR="00715923" w:rsidRPr="00F36C89" w:rsidRDefault="007E7FEE">
            <w:pPr>
              <w:rPr>
                <w:sz w:val="32"/>
                <w:szCs w:val="32"/>
              </w:rPr>
            </w:pPr>
            <w:r w:rsidRPr="00F36C89">
              <w:rPr>
                <w:sz w:val="24"/>
                <w:szCs w:val="24"/>
              </w:rPr>
              <w:t>Applied platform competence</w:t>
            </w:r>
          </w:p>
        </w:tc>
        <w:tc>
          <w:tcPr>
            <w:tcW w:w="2500" w:type="dxa"/>
            <w:tcMar>
              <w:top w:w="70" w:type="dxa"/>
              <w:left w:w="100" w:type="dxa"/>
              <w:bottom w:w="70" w:type="dxa"/>
              <w:right w:w="100" w:type="dxa"/>
            </w:tcMar>
          </w:tcPr>
          <w:p w:rsidR="00715923" w:rsidRPr="00F36C89" w:rsidRDefault="007E7FEE">
            <w:pPr>
              <w:rPr>
                <w:sz w:val="32"/>
                <w:szCs w:val="32"/>
              </w:rPr>
            </w:pPr>
            <w:r w:rsidRPr="00F36C89">
              <w:rPr>
                <w:sz w:val="24"/>
                <w:szCs w:val="24"/>
              </w:rPr>
              <w:t>Mean (SD) or median [IQR]</w:t>
            </w:r>
          </w:p>
        </w:tc>
        <w:tc>
          <w:tcPr>
            <w:tcW w:w="1400" w:type="dxa"/>
            <w:tcMar>
              <w:top w:w="70" w:type="dxa"/>
              <w:left w:w="100" w:type="dxa"/>
              <w:bottom w:w="70" w:type="dxa"/>
              <w:right w:w="100" w:type="dxa"/>
            </w:tcMar>
          </w:tcPr>
          <w:p w:rsidR="00715923" w:rsidRPr="00F36C89" w:rsidRDefault="007E7FEE">
            <w:pPr>
              <w:rPr>
                <w:sz w:val="32"/>
                <w:szCs w:val="32"/>
              </w:rPr>
            </w:pPr>
            <w:r w:rsidRPr="00F36C89">
              <w:rPr>
                <w:sz w:val="24"/>
                <w:szCs w:val="24"/>
              </w:rPr>
              <w:t>—</w:t>
            </w:r>
          </w:p>
        </w:tc>
        <w:tc>
          <w:tcPr>
            <w:tcW w:w="1400" w:type="dxa"/>
            <w:tcMar>
              <w:top w:w="70" w:type="dxa"/>
              <w:left w:w="100" w:type="dxa"/>
              <w:bottom w:w="70" w:type="dxa"/>
              <w:right w:w="100" w:type="dxa"/>
            </w:tcMar>
          </w:tcPr>
          <w:p w:rsidR="00715923" w:rsidRPr="00F36C89" w:rsidRDefault="007E7FEE">
            <w:pPr>
              <w:rPr>
                <w:sz w:val="32"/>
                <w:szCs w:val="32"/>
              </w:rPr>
            </w:pPr>
            <w:r w:rsidRPr="00F36C89">
              <w:rPr>
                <w:sz w:val="24"/>
                <w:szCs w:val="24"/>
              </w:rPr>
              <w:t>—</w:t>
            </w:r>
          </w:p>
        </w:tc>
      </w:tr>
      <w:tr w:rsidR="00715923" w:rsidRPr="00F36C89">
        <w:tblPrEx>
          <w:tblCellMar>
            <w:top w:w="0" w:type="dxa"/>
            <w:bottom w:w="0" w:type="dxa"/>
          </w:tblCellMar>
        </w:tblPrEx>
        <w:tc>
          <w:tcPr>
            <w:tcW w:w="3700" w:type="dxa"/>
            <w:tcMar>
              <w:top w:w="70" w:type="dxa"/>
              <w:left w:w="100" w:type="dxa"/>
              <w:bottom w:w="70" w:type="dxa"/>
              <w:right w:w="100" w:type="dxa"/>
            </w:tcMar>
          </w:tcPr>
          <w:p w:rsidR="00715923" w:rsidRPr="00F36C89" w:rsidRDefault="007E7FEE">
            <w:pPr>
              <w:rPr>
                <w:sz w:val="32"/>
                <w:szCs w:val="32"/>
              </w:rPr>
            </w:pPr>
            <w:r w:rsidRPr="00F36C89">
              <w:rPr>
                <w:sz w:val="24"/>
                <w:szCs w:val="24"/>
              </w:rPr>
              <w:t>Source-evaluation performance</w:t>
            </w:r>
          </w:p>
        </w:tc>
        <w:tc>
          <w:tcPr>
            <w:tcW w:w="2500" w:type="dxa"/>
            <w:tcMar>
              <w:top w:w="70" w:type="dxa"/>
              <w:left w:w="100" w:type="dxa"/>
              <w:bottom w:w="70" w:type="dxa"/>
              <w:right w:w="100" w:type="dxa"/>
            </w:tcMar>
          </w:tcPr>
          <w:p w:rsidR="00715923" w:rsidRPr="00F36C89" w:rsidRDefault="007E7FEE">
            <w:pPr>
              <w:rPr>
                <w:sz w:val="32"/>
                <w:szCs w:val="32"/>
              </w:rPr>
            </w:pPr>
            <w:r w:rsidRPr="00F36C89">
              <w:rPr>
                <w:sz w:val="24"/>
                <w:szCs w:val="24"/>
              </w:rPr>
              <w:t>Mean (SD) or median [IQR]</w:t>
            </w:r>
          </w:p>
        </w:tc>
        <w:tc>
          <w:tcPr>
            <w:tcW w:w="1400" w:type="dxa"/>
            <w:tcMar>
              <w:top w:w="70" w:type="dxa"/>
              <w:left w:w="100" w:type="dxa"/>
              <w:bottom w:w="70" w:type="dxa"/>
              <w:right w:w="100" w:type="dxa"/>
            </w:tcMar>
          </w:tcPr>
          <w:p w:rsidR="00715923" w:rsidRPr="00F36C89" w:rsidRDefault="007E7FEE">
            <w:pPr>
              <w:rPr>
                <w:sz w:val="32"/>
                <w:szCs w:val="32"/>
              </w:rPr>
            </w:pPr>
            <w:r w:rsidRPr="00F36C89">
              <w:rPr>
                <w:sz w:val="24"/>
                <w:szCs w:val="24"/>
              </w:rPr>
              <w:t>—</w:t>
            </w:r>
          </w:p>
        </w:tc>
        <w:tc>
          <w:tcPr>
            <w:tcW w:w="1400" w:type="dxa"/>
            <w:tcMar>
              <w:top w:w="70" w:type="dxa"/>
              <w:left w:w="100" w:type="dxa"/>
              <w:bottom w:w="70" w:type="dxa"/>
              <w:right w:w="100" w:type="dxa"/>
            </w:tcMar>
          </w:tcPr>
          <w:p w:rsidR="00715923" w:rsidRPr="00F36C89" w:rsidRDefault="007E7FEE">
            <w:pPr>
              <w:rPr>
                <w:sz w:val="32"/>
                <w:szCs w:val="32"/>
              </w:rPr>
            </w:pPr>
            <w:r w:rsidRPr="00F36C89">
              <w:rPr>
                <w:sz w:val="24"/>
                <w:szCs w:val="24"/>
              </w:rPr>
              <w:t>—</w:t>
            </w:r>
          </w:p>
        </w:tc>
      </w:tr>
      <w:tr w:rsidR="00715923" w:rsidRPr="00F36C89">
        <w:tblPrEx>
          <w:tblCellMar>
            <w:top w:w="0" w:type="dxa"/>
            <w:bottom w:w="0" w:type="dxa"/>
          </w:tblCellMar>
        </w:tblPrEx>
        <w:tc>
          <w:tcPr>
            <w:tcW w:w="3700" w:type="dxa"/>
            <w:tcMar>
              <w:top w:w="70" w:type="dxa"/>
              <w:left w:w="100" w:type="dxa"/>
              <w:bottom w:w="70" w:type="dxa"/>
              <w:right w:w="100" w:type="dxa"/>
            </w:tcMar>
          </w:tcPr>
          <w:p w:rsidR="00715923" w:rsidRPr="00F36C89" w:rsidRDefault="007E7FEE">
            <w:pPr>
              <w:rPr>
                <w:sz w:val="32"/>
                <w:szCs w:val="32"/>
              </w:rPr>
            </w:pPr>
            <w:r w:rsidRPr="00F36C89">
              <w:rPr>
                <w:sz w:val="24"/>
                <w:szCs w:val="24"/>
              </w:rPr>
              <w:t>Misinformation discernment</w:t>
            </w:r>
          </w:p>
        </w:tc>
        <w:tc>
          <w:tcPr>
            <w:tcW w:w="2500" w:type="dxa"/>
            <w:tcMar>
              <w:top w:w="70" w:type="dxa"/>
              <w:left w:w="100" w:type="dxa"/>
              <w:bottom w:w="70" w:type="dxa"/>
              <w:right w:w="100" w:type="dxa"/>
            </w:tcMar>
          </w:tcPr>
          <w:p w:rsidR="00715923" w:rsidRPr="00F36C89" w:rsidRDefault="007E7FEE">
            <w:pPr>
              <w:rPr>
                <w:sz w:val="32"/>
                <w:szCs w:val="32"/>
              </w:rPr>
            </w:pPr>
            <w:r w:rsidRPr="00F36C89">
              <w:rPr>
                <w:sz w:val="24"/>
                <w:szCs w:val="24"/>
              </w:rPr>
              <w:t>Mean (SD) or median [IQR]</w:t>
            </w:r>
          </w:p>
        </w:tc>
        <w:tc>
          <w:tcPr>
            <w:tcW w:w="1400" w:type="dxa"/>
            <w:tcMar>
              <w:top w:w="70" w:type="dxa"/>
              <w:left w:w="100" w:type="dxa"/>
              <w:bottom w:w="70" w:type="dxa"/>
              <w:right w:w="100" w:type="dxa"/>
            </w:tcMar>
          </w:tcPr>
          <w:p w:rsidR="00715923" w:rsidRPr="00F36C89" w:rsidRDefault="007E7FEE">
            <w:pPr>
              <w:rPr>
                <w:sz w:val="32"/>
                <w:szCs w:val="32"/>
              </w:rPr>
            </w:pPr>
            <w:r w:rsidRPr="00F36C89">
              <w:rPr>
                <w:sz w:val="24"/>
                <w:szCs w:val="24"/>
              </w:rPr>
              <w:t>—</w:t>
            </w:r>
          </w:p>
        </w:tc>
        <w:tc>
          <w:tcPr>
            <w:tcW w:w="1400" w:type="dxa"/>
            <w:tcMar>
              <w:top w:w="70" w:type="dxa"/>
              <w:left w:w="100" w:type="dxa"/>
              <w:bottom w:w="70" w:type="dxa"/>
              <w:right w:w="100" w:type="dxa"/>
            </w:tcMar>
          </w:tcPr>
          <w:p w:rsidR="00715923" w:rsidRPr="00F36C89" w:rsidRDefault="007E7FEE">
            <w:pPr>
              <w:rPr>
                <w:sz w:val="32"/>
                <w:szCs w:val="32"/>
              </w:rPr>
            </w:pPr>
            <w:r w:rsidRPr="00F36C89">
              <w:rPr>
                <w:sz w:val="24"/>
                <w:szCs w:val="24"/>
              </w:rPr>
              <w:t>—</w:t>
            </w:r>
          </w:p>
        </w:tc>
      </w:tr>
      <w:tr w:rsidR="00715923" w:rsidRPr="00F36C89">
        <w:tblPrEx>
          <w:tblCellMar>
            <w:top w:w="0" w:type="dxa"/>
            <w:bottom w:w="0" w:type="dxa"/>
          </w:tblCellMar>
        </w:tblPrEx>
        <w:tc>
          <w:tcPr>
            <w:tcW w:w="3700" w:type="dxa"/>
            <w:tcMar>
              <w:top w:w="70" w:type="dxa"/>
              <w:left w:w="100" w:type="dxa"/>
              <w:bottom w:w="70" w:type="dxa"/>
              <w:right w:w="100" w:type="dxa"/>
            </w:tcMar>
          </w:tcPr>
          <w:p w:rsidR="00715923" w:rsidRPr="00F36C89" w:rsidRDefault="007E7FEE">
            <w:pPr>
              <w:rPr>
                <w:sz w:val="32"/>
                <w:szCs w:val="32"/>
              </w:rPr>
            </w:pPr>
            <w:r w:rsidRPr="00F36C89">
              <w:rPr>
                <w:sz w:val="24"/>
                <w:szCs w:val="24"/>
              </w:rPr>
              <w:t>Directional response bias</w:t>
            </w:r>
          </w:p>
        </w:tc>
        <w:tc>
          <w:tcPr>
            <w:tcW w:w="2500" w:type="dxa"/>
            <w:tcMar>
              <w:top w:w="70" w:type="dxa"/>
              <w:left w:w="100" w:type="dxa"/>
              <w:bottom w:w="70" w:type="dxa"/>
              <w:right w:w="100" w:type="dxa"/>
            </w:tcMar>
          </w:tcPr>
          <w:p w:rsidR="00715923" w:rsidRPr="00F36C89" w:rsidRDefault="007E7FEE">
            <w:pPr>
              <w:rPr>
                <w:sz w:val="32"/>
                <w:szCs w:val="32"/>
              </w:rPr>
            </w:pPr>
            <w:r w:rsidRPr="00F36C89">
              <w:rPr>
                <w:sz w:val="24"/>
                <w:szCs w:val="24"/>
              </w:rPr>
              <w:t>Mean (SD) or median [IQR]</w:t>
            </w:r>
          </w:p>
        </w:tc>
        <w:tc>
          <w:tcPr>
            <w:tcW w:w="1400" w:type="dxa"/>
            <w:tcMar>
              <w:top w:w="70" w:type="dxa"/>
              <w:left w:w="100" w:type="dxa"/>
              <w:bottom w:w="70" w:type="dxa"/>
              <w:right w:w="100" w:type="dxa"/>
            </w:tcMar>
          </w:tcPr>
          <w:p w:rsidR="00715923" w:rsidRPr="00F36C89" w:rsidRDefault="007E7FEE">
            <w:pPr>
              <w:rPr>
                <w:sz w:val="32"/>
                <w:szCs w:val="32"/>
              </w:rPr>
            </w:pPr>
            <w:r w:rsidRPr="00F36C89">
              <w:rPr>
                <w:sz w:val="24"/>
                <w:szCs w:val="24"/>
              </w:rPr>
              <w:t>—</w:t>
            </w:r>
          </w:p>
        </w:tc>
        <w:tc>
          <w:tcPr>
            <w:tcW w:w="1400" w:type="dxa"/>
            <w:tcMar>
              <w:top w:w="70" w:type="dxa"/>
              <w:left w:w="100" w:type="dxa"/>
              <w:bottom w:w="70" w:type="dxa"/>
              <w:right w:w="100" w:type="dxa"/>
            </w:tcMar>
          </w:tcPr>
          <w:p w:rsidR="00715923" w:rsidRPr="00F36C89" w:rsidRDefault="007E7FEE">
            <w:pPr>
              <w:rPr>
                <w:sz w:val="32"/>
                <w:szCs w:val="32"/>
              </w:rPr>
            </w:pPr>
            <w:r w:rsidRPr="00F36C89">
              <w:rPr>
                <w:sz w:val="24"/>
                <w:szCs w:val="24"/>
              </w:rPr>
              <w:t>—</w:t>
            </w:r>
          </w:p>
        </w:tc>
      </w:tr>
      <w:tr w:rsidR="00715923" w:rsidRPr="00F36C89">
        <w:tblPrEx>
          <w:tblCellMar>
            <w:top w:w="0" w:type="dxa"/>
            <w:bottom w:w="0" w:type="dxa"/>
          </w:tblCellMar>
        </w:tblPrEx>
        <w:tc>
          <w:tcPr>
            <w:tcW w:w="3700" w:type="dxa"/>
            <w:tcMar>
              <w:top w:w="70" w:type="dxa"/>
              <w:left w:w="100" w:type="dxa"/>
              <w:bottom w:w="70" w:type="dxa"/>
              <w:right w:w="100" w:type="dxa"/>
            </w:tcMar>
          </w:tcPr>
          <w:p w:rsidR="00715923" w:rsidRPr="00F36C89" w:rsidRDefault="007E7FEE">
            <w:pPr>
              <w:rPr>
                <w:sz w:val="32"/>
                <w:szCs w:val="32"/>
              </w:rPr>
            </w:pPr>
            <w:r w:rsidRPr="00F36C89">
              <w:rPr>
                <w:sz w:val="24"/>
                <w:szCs w:val="24"/>
              </w:rPr>
              <w:t>Risk and ethical awareness</w:t>
            </w:r>
          </w:p>
        </w:tc>
        <w:tc>
          <w:tcPr>
            <w:tcW w:w="2500" w:type="dxa"/>
            <w:tcMar>
              <w:top w:w="70" w:type="dxa"/>
              <w:left w:w="100" w:type="dxa"/>
              <w:bottom w:w="70" w:type="dxa"/>
              <w:right w:w="100" w:type="dxa"/>
            </w:tcMar>
          </w:tcPr>
          <w:p w:rsidR="00715923" w:rsidRPr="00F36C89" w:rsidRDefault="007E7FEE">
            <w:pPr>
              <w:rPr>
                <w:sz w:val="32"/>
                <w:szCs w:val="32"/>
              </w:rPr>
            </w:pPr>
            <w:r w:rsidRPr="00F36C89">
              <w:rPr>
                <w:sz w:val="24"/>
                <w:szCs w:val="24"/>
              </w:rPr>
              <w:t>Item profile or justified score</w:t>
            </w:r>
          </w:p>
        </w:tc>
        <w:tc>
          <w:tcPr>
            <w:tcW w:w="1400" w:type="dxa"/>
            <w:tcMar>
              <w:top w:w="70" w:type="dxa"/>
              <w:left w:w="100" w:type="dxa"/>
              <w:bottom w:w="70" w:type="dxa"/>
              <w:right w:w="100" w:type="dxa"/>
            </w:tcMar>
          </w:tcPr>
          <w:p w:rsidR="00715923" w:rsidRPr="00F36C89" w:rsidRDefault="007E7FEE">
            <w:pPr>
              <w:rPr>
                <w:sz w:val="32"/>
                <w:szCs w:val="32"/>
              </w:rPr>
            </w:pPr>
            <w:r w:rsidRPr="00F36C89">
              <w:rPr>
                <w:sz w:val="24"/>
                <w:szCs w:val="24"/>
              </w:rPr>
              <w:t>—</w:t>
            </w:r>
          </w:p>
        </w:tc>
        <w:tc>
          <w:tcPr>
            <w:tcW w:w="1400" w:type="dxa"/>
            <w:tcMar>
              <w:top w:w="70" w:type="dxa"/>
              <w:left w:w="100" w:type="dxa"/>
              <w:bottom w:w="70" w:type="dxa"/>
              <w:right w:w="100" w:type="dxa"/>
            </w:tcMar>
          </w:tcPr>
          <w:p w:rsidR="00715923" w:rsidRPr="00F36C89" w:rsidRDefault="007E7FEE">
            <w:pPr>
              <w:rPr>
                <w:sz w:val="32"/>
                <w:szCs w:val="32"/>
              </w:rPr>
            </w:pPr>
            <w:r w:rsidRPr="00F36C89">
              <w:rPr>
                <w:sz w:val="24"/>
                <w:szCs w:val="24"/>
              </w:rPr>
              <w:t>—</w:t>
            </w:r>
          </w:p>
        </w:tc>
      </w:tr>
      <w:tr w:rsidR="00715923" w:rsidRPr="00F36C89">
        <w:tblPrEx>
          <w:tblCellMar>
            <w:top w:w="0" w:type="dxa"/>
            <w:bottom w:w="0" w:type="dxa"/>
          </w:tblCellMar>
        </w:tblPrEx>
        <w:tc>
          <w:tcPr>
            <w:tcW w:w="3700" w:type="dxa"/>
            <w:tcMar>
              <w:top w:w="70" w:type="dxa"/>
              <w:left w:w="100" w:type="dxa"/>
              <w:bottom w:w="70" w:type="dxa"/>
              <w:right w:w="100" w:type="dxa"/>
            </w:tcMar>
          </w:tcPr>
          <w:p w:rsidR="00715923" w:rsidRPr="00F36C89" w:rsidRDefault="007E7FEE">
            <w:pPr>
              <w:rPr>
                <w:sz w:val="32"/>
                <w:szCs w:val="32"/>
              </w:rPr>
            </w:pPr>
            <w:r w:rsidRPr="00F36C89">
              <w:rPr>
                <w:sz w:val="24"/>
                <w:szCs w:val="24"/>
              </w:rPr>
              <w:t>Responsible sharing behaviour</w:t>
            </w:r>
          </w:p>
        </w:tc>
        <w:tc>
          <w:tcPr>
            <w:tcW w:w="2500" w:type="dxa"/>
            <w:tcMar>
              <w:top w:w="70" w:type="dxa"/>
              <w:left w:w="100" w:type="dxa"/>
              <w:bottom w:w="70" w:type="dxa"/>
              <w:right w:w="100" w:type="dxa"/>
            </w:tcMar>
          </w:tcPr>
          <w:p w:rsidR="00715923" w:rsidRPr="00F36C89" w:rsidRDefault="007E7FEE">
            <w:pPr>
              <w:rPr>
                <w:sz w:val="32"/>
                <w:szCs w:val="32"/>
              </w:rPr>
            </w:pPr>
            <w:r w:rsidRPr="00F36C89">
              <w:rPr>
                <w:sz w:val="24"/>
                <w:szCs w:val="24"/>
              </w:rPr>
              <w:t>Mean (SD) or median [IQR]</w:t>
            </w:r>
          </w:p>
        </w:tc>
        <w:tc>
          <w:tcPr>
            <w:tcW w:w="1400" w:type="dxa"/>
            <w:tcMar>
              <w:top w:w="70" w:type="dxa"/>
              <w:left w:w="100" w:type="dxa"/>
              <w:bottom w:w="70" w:type="dxa"/>
              <w:right w:w="100" w:type="dxa"/>
            </w:tcMar>
          </w:tcPr>
          <w:p w:rsidR="00715923" w:rsidRPr="00F36C89" w:rsidRDefault="007E7FEE">
            <w:pPr>
              <w:rPr>
                <w:sz w:val="32"/>
                <w:szCs w:val="32"/>
              </w:rPr>
            </w:pPr>
            <w:r w:rsidRPr="00F36C89">
              <w:rPr>
                <w:sz w:val="24"/>
                <w:szCs w:val="24"/>
              </w:rPr>
              <w:t>—</w:t>
            </w:r>
          </w:p>
        </w:tc>
        <w:tc>
          <w:tcPr>
            <w:tcW w:w="1400" w:type="dxa"/>
            <w:tcMar>
              <w:top w:w="70" w:type="dxa"/>
              <w:left w:w="100" w:type="dxa"/>
              <w:bottom w:w="70" w:type="dxa"/>
              <w:right w:w="100" w:type="dxa"/>
            </w:tcMar>
          </w:tcPr>
          <w:p w:rsidR="00715923" w:rsidRPr="00F36C89" w:rsidRDefault="007E7FEE">
            <w:pPr>
              <w:rPr>
                <w:sz w:val="32"/>
                <w:szCs w:val="32"/>
              </w:rPr>
            </w:pPr>
            <w:r w:rsidRPr="00F36C89">
              <w:rPr>
                <w:sz w:val="24"/>
                <w:szCs w:val="24"/>
              </w:rPr>
              <w:t>—</w:t>
            </w:r>
          </w:p>
        </w:tc>
      </w:tr>
    </w:tbl>
    <w:p w:rsidR="00715923" w:rsidRPr="00F36C89" w:rsidRDefault="007E7FEE">
      <w:pPr>
        <w:spacing w:after="200"/>
        <w:jc w:val="both"/>
        <w:rPr>
          <w:sz w:val="32"/>
          <w:szCs w:val="32"/>
        </w:rPr>
      </w:pPr>
      <w:r w:rsidRPr="00F36C89">
        <w:rPr>
          <w:color w:val="595959"/>
          <w:sz w:val="24"/>
          <w:szCs w:val="24"/>
        </w:rPr>
        <w:t>Note. Scale rows may be retained only after the planned measurement evaluation. All estimates are pending genuine data.</w:t>
      </w:r>
    </w:p>
    <w:p w:rsidR="00715923" w:rsidRPr="00F36C89" w:rsidRDefault="007E7FEE">
      <w:pPr>
        <w:pStyle w:val="Heading2"/>
        <w:keepNext/>
        <w:spacing w:before="260" w:after="120"/>
        <w:rPr>
          <w:sz w:val="32"/>
          <w:szCs w:val="32"/>
        </w:rPr>
      </w:pPr>
      <w:r w:rsidRPr="00F36C89">
        <w:rPr>
          <w:b/>
          <w:bCs/>
          <w:color w:val="1F7A8C"/>
          <w:sz w:val="36"/>
          <w:szCs w:val="36"/>
        </w:rPr>
        <w:t>6.3 Psychometric and hypothesis-testing results</w:t>
      </w:r>
    </w:p>
    <w:p w:rsidR="00715923" w:rsidRPr="00F36C89" w:rsidRDefault="007E7FEE">
      <w:pPr>
        <w:spacing w:after="140"/>
        <w:jc w:val="both"/>
        <w:rPr>
          <w:sz w:val="32"/>
          <w:szCs w:val="32"/>
        </w:rPr>
      </w:pPr>
      <w:r w:rsidRPr="00F36C89">
        <w:rPr>
          <w:sz w:val="32"/>
          <w:szCs w:val="32"/>
        </w:rPr>
        <w:t>Future report: document item retention, factor structure, omega and alpha where appropri</w:t>
      </w:r>
      <w:r w:rsidRPr="00F36C89">
        <w:rPr>
          <w:sz w:val="32"/>
          <w:szCs w:val="32"/>
        </w:rPr>
        <w:t>ate, objective-item and headline-item performance, and any deviations from the scoring plan. Then report each hypothesis with effect estimates, uncertainty, model diagnostics, adjusted and unadjusted results, and a clear distinction between prespecified an</w:t>
      </w:r>
      <w:r w:rsidRPr="00F36C89">
        <w:rPr>
          <w:sz w:val="32"/>
          <w:szCs w:val="32"/>
        </w:rPr>
        <w:t>d exploratory analysis. Avoid interpreting statistical significance as educational importance.</w:t>
      </w:r>
    </w:p>
    <w:p w:rsidR="00715923" w:rsidRPr="00F36C89" w:rsidRDefault="007E7FEE">
      <w:pPr>
        <w:spacing w:after="140"/>
        <w:jc w:val="both"/>
        <w:rPr>
          <w:sz w:val="32"/>
          <w:szCs w:val="32"/>
        </w:rPr>
      </w:pPr>
      <w:r w:rsidRPr="00F36C89">
        <w:rPr>
          <w:sz w:val="32"/>
          <w:szCs w:val="32"/>
        </w:rPr>
        <w:t>Participant-data figures reserved for later insertion:</w:t>
      </w:r>
    </w:p>
    <w:p w:rsidR="00715923" w:rsidRPr="00F36C89" w:rsidRDefault="007E7FEE">
      <w:pPr>
        <w:pStyle w:val="ListParagraph"/>
        <w:numPr>
          <w:ilvl w:val="0"/>
          <w:numId w:val="3"/>
        </w:numPr>
        <w:spacing w:after="80"/>
        <w:jc w:val="both"/>
        <w:rPr>
          <w:sz w:val="32"/>
          <w:szCs w:val="32"/>
        </w:rPr>
      </w:pPr>
      <w:r w:rsidRPr="00F36C89">
        <w:rPr>
          <w:sz w:val="32"/>
          <w:szCs w:val="32"/>
        </w:rPr>
        <w:t>Graph A: distribution of validated literacy-dimension scores, with sample size and uncertainty.</w:t>
      </w:r>
    </w:p>
    <w:p w:rsidR="00715923" w:rsidRPr="00F36C89" w:rsidRDefault="007E7FEE">
      <w:pPr>
        <w:pStyle w:val="ListParagraph"/>
        <w:numPr>
          <w:ilvl w:val="0"/>
          <w:numId w:val="3"/>
        </w:numPr>
        <w:spacing w:after="80"/>
        <w:jc w:val="both"/>
        <w:rPr>
          <w:sz w:val="32"/>
          <w:szCs w:val="32"/>
        </w:rPr>
      </w:pPr>
      <w:r w:rsidRPr="00F36C89">
        <w:rPr>
          <w:sz w:val="32"/>
          <w:szCs w:val="32"/>
        </w:rPr>
        <w:t>Graph B: source-evaluation frequency by news-use frequency group, using observed denominators.</w:t>
      </w:r>
    </w:p>
    <w:p w:rsidR="00715923" w:rsidRPr="00F36C89" w:rsidRDefault="007E7FEE">
      <w:pPr>
        <w:pStyle w:val="ListParagraph"/>
        <w:numPr>
          <w:ilvl w:val="0"/>
          <w:numId w:val="3"/>
        </w:numPr>
        <w:spacing w:after="80"/>
        <w:jc w:val="both"/>
        <w:rPr>
          <w:sz w:val="32"/>
          <w:szCs w:val="32"/>
        </w:rPr>
      </w:pPr>
      <w:r w:rsidRPr="00F36C89">
        <w:rPr>
          <w:sz w:val="32"/>
          <w:szCs w:val="32"/>
        </w:rPr>
        <w:lastRenderedPageBreak/>
        <w:t>Graph C: misinformation discernment and directional bias plotted separately, with confidence intervals.</w:t>
      </w:r>
    </w:p>
    <w:p w:rsidR="00715923" w:rsidRPr="00F36C89" w:rsidRDefault="007E7FEE">
      <w:pPr>
        <w:pStyle w:val="ListParagraph"/>
        <w:numPr>
          <w:ilvl w:val="0"/>
          <w:numId w:val="3"/>
        </w:numPr>
        <w:spacing w:after="80"/>
        <w:jc w:val="both"/>
        <w:rPr>
          <w:sz w:val="32"/>
          <w:szCs w:val="32"/>
        </w:rPr>
      </w:pPr>
      <w:r w:rsidRPr="00F36C89">
        <w:rPr>
          <w:sz w:val="32"/>
          <w:szCs w:val="32"/>
        </w:rPr>
        <w:t>Graph D: adjusted associations with source-evaluation per</w:t>
      </w:r>
      <w:r w:rsidRPr="00F36C89">
        <w:rPr>
          <w:sz w:val="32"/>
          <w:szCs w:val="32"/>
        </w:rPr>
        <w:t>formance, reported as coefficients or marginal effects with 95% confidence intervals.</w:t>
      </w:r>
    </w:p>
    <w:p w:rsidR="00715923" w:rsidRPr="00F36C89" w:rsidRDefault="007E7FEE">
      <w:pPr>
        <w:pStyle w:val="ListParagraph"/>
        <w:numPr>
          <w:ilvl w:val="0"/>
          <w:numId w:val="3"/>
        </w:numPr>
        <w:spacing w:after="80"/>
        <w:jc w:val="both"/>
        <w:rPr>
          <w:sz w:val="32"/>
          <w:szCs w:val="32"/>
        </w:rPr>
      </w:pPr>
      <w:r w:rsidRPr="00F36C89">
        <w:rPr>
          <w:sz w:val="32"/>
          <w:szCs w:val="32"/>
        </w:rPr>
        <w:t>Graph E: subgroup comparisons only where cell sizes, measurement comparability, and disclosure safeguards are adequate.</w:t>
      </w:r>
    </w:p>
    <w:p w:rsidR="00715923" w:rsidRPr="00F36C89" w:rsidRDefault="007E7FEE">
      <w:pPr>
        <w:pStyle w:val="Heading1"/>
        <w:keepNext/>
        <w:pageBreakBefore/>
        <w:spacing w:before="320" w:after="160"/>
        <w:rPr>
          <w:sz w:val="32"/>
          <w:szCs w:val="32"/>
        </w:rPr>
      </w:pPr>
      <w:r w:rsidRPr="00F36C89">
        <w:rPr>
          <w:b/>
          <w:bCs/>
          <w:color w:val="1F3864"/>
          <w:sz w:val="40"/>
          <w:szCs w:val="40"/>
        </w:rPr>
        <w:lastRenderedPageBreak/>
        <w:t>7. Discussion Framework</w:t>
      </w:r>
    </w:p>
    <w:p w:rsidR="00715923" w:rsidRPr="00F36C89" w:rsidRDefault="007E7FEE">
      <w:pPr>
        <w:spacing w:after="140"/>
        <w:jc w:val="both"/>
        <w:rPr>
          <w:sz w:val="32"/>
          <w:szCs w:val="32"/>
        </w:rPr>
      </w:pPr>
      <w:r w:rsidRPr="00F36C89">
        <w:rPr>
          <w:sz w:val="32"/>
          <w:szCs w:val="32"/>
        </w:rPr>
        <w:t>Because no primary data are available, th</w:t>
      </w:r>
      <w:r w:rsidRPr="00F36C89">
        <w:rPr>
          <w:sz w:val="32"/>
          <w:szCs w:val="32"/>
        </w:rPr>
        <w:t>is section does not offer findings. It specifies how future results should be interpreted.</w:t>
      </w:r>
    </w:p>
    <w:p w:rsidR="00715923" w:rsidRPr="00F36C89" w:rsidRDefault="007E7FEE">
      <w:pPr>
        <w:spacing w:after="140"/>
        <w:jc w:val="both"/>
        <w:rPr>
          <w:sz w:val="32"/>
          <w:szCs w:val="32"/>
        </w:rPr>
      </w:pPr>
      <w:r w:rsidRPr="00F36C89">
        <w:rPr>
          <w:sz w:val="32"/>
          <w:szCs w:val="32"/>
        </w:rPr>
        <w:t>The first principle is to compare dimensions rather than label students globally as literate or illiterate. A profile of heavy feed-based news exposure, high perceived competence, low objective personalisation awareness, and inconsistent provenance checkin</w:t>
      </w:r>
      <w:r w:rsidRPr="00F36C89">
        <w:rPr>
          <w:sz w:val="32"/>
          <w:szCs w:val="32"/>
        </w:rPr>
        <w:t>g would indicate an interface-fluency gap of the kind documented in adult and young-adult samples [31,32]. A profile of low exposure but strong scenario judgement could indicate limited access or deliberate avoidance rather than weak literacy. Interpretati</w:t>
      </w:r>
      <w:r w:rsidRPr="00F36C89">
        <w:rPr>
          <w:sz w:val="32"/>
          <w:szCs w:val="32"/>
        </w:rPr>
        <w:t>on should therefore begin with patterns across measures and their uncertainty.</w:t>
      </w:r>
    </w:p>
    <w:p w:rsidR="00715923" w:rsidRPr="00F36C89" w:rsidRDefault="007E7FEE">
      <w:pPr>
        <w:spacing w:after="140"/>
        <w:jc w:val="both"/>
        <w:rPr>
          <w:sz w:val="32"/>
          <w:szCs w:val="32"/>
        </w:rPr>
      </w:pPr>
      <w:r w:rsidRPr="00F36C89">
        <w:rPr>
          <w:sz w:val="32"/>
          <w:szCs w:val="32"/>
        </w:rPr>
        <w:t>The second principle is to distinguish association from cause. If prior instruction is associated with stronger source evaluation, the result would be consistent with educationa</w:t>
      </w:r>
      <w:r w:rsidRPr="00F36C89">
        <w:rPr>
          <w:sz w:val="32"/>
          <w:szCs w:val="32"/>
        </w:rPr>
        <w:t xml:space="preserve">l benefit, but students who attend participating schools or elect particular subjects may differ in other ways. If frequent users show stronger applied competence, practice may contribute, but confident students may also consume more news. Cross-sectional </w:t>
      </w:r>
      <w:r w:rsidRPr="00F36C89">
        <w:rPr>
          <w:sz w:val="32"/>
          <w:szCs w:val="32"/>
        </w:rPr>
        <w:t>mediation would be treated as a model of covariance, not proof of a developmental mechanism. Longitudinal or experimental research would be required for causal claims, and the mixed results of existing Indian intervention trials underline how easily short-</w:t>
      </w:r>
      <w:r w:rsidRPr="00F36C89">
        <w:rPr>
          <w:sz w:val="32"/>
          <w:szCs w:val="32"/>
        </w:rPr>
        <w:t>term effects are overstated [14,15].</w:t>
      </w:r>
    </w:p>
    <w:p w:rsidR="00715923" w:rsidRPr="00F36C89" w:rsidRDefault="007E7FEE">
      <w:pPr>
        <w:spacing w:after="140"/>
        <w:jc w:val="both"/>
        <w:rPr>
          <w:sz w:val="32"/>
          <w:szCs w:val="32"/>
        </w:rPr>
      </w:pPr>
      <w:r w:rsidRPr="00F36C89">
        <w:rPr>
          <w:sz w:val="32"/>
          <w:szCs w:val="32"/>
        </w:rPr>
        <w:t>The third principle is calibration. A high trust score should not automatically be celebrated, and a low score should not automatically be interpreted as critical thinking. Reporting discernment without reporting direct</w:t>
      </w:r>
      <w:r w:rsidRPr="00F36C89">
        <w:rPr>
          <w:sz w:val="32"/>
          <w:szCs w:val="32"/>
        </w:rPr>
        <w:t>ional bias would allow blanket scepticism to masquerade as skill, which is precisely the failure mode that validated veracity measures are designed to expose [48]. The most defensible evidence would show that students increase scrutiny when claims are cons</w:t>
      </w:r>
      <w:r w:rsidRPr="00F36C89">
        <w:rPr>
          <w:sz w:val="32"/>
          <w:szCs w:val="32"/>
        </w:rPr>
        <w:t>equential, unfamiliar, or unsourced, while retaining efficient acceptance of well-sourced routine reporting. Similarly, a confidence-accuracy gap should be interpreted as a risk indicator rather than as a character judgement, consistent with evidence linki</w:t>
      </w:r>
      <w:r w:rsidRPr="00F36C89">
        <w:rPr>
          <w:sz w:val="32"/>
          <w:szCs w:val="32"/>
        </w:rPr>
        <w:t>ng overconfidence to reduced checking [49].</w:t>
      </w:r>
    </w:p>
    <w:p w:rsidR="00715923" w:rsidRPr="00F36C89" w:rsidRDefault="007E7FEE">
      <w:pPr>
        <w:spacing w:after="140"/>
        <w:jc w:val="both"/>
        <w:rPr>
          <w:sz w:val="32"/>
          <w:szCs w:val="32"/>
        </w:rPr>
      </w:pPr>
      <w:r w:rsidRPr="00F36C89">
        <w:rPr>
          <w:sz w:val="32"/>
          <w:szCs w:val="32"/>
        </w:rPr>
        <w:lastRenderedPageBreak/>
        <w:t>The fourth principle is contextual fairness. Differences by school type, location, language, or device access should not be framed as inherent deficits. They may reflect infrastructure, curricular exposure, adult</w:t>
      </w:r>
      <w:r w:rsidRPr="00F36C89">
        <w:rPr>
          <w:sz w:val="32"/>
          <w:szCs w:val="32"/>
        </w:rPr>
        <w:t xml:space="preserve"> guidance, institutional rules, or the language and examples used in the instrument, and algorithmic understanding is itself patterned by educational and socioeconomic position [35]. Measurement limitations must be considered before subgroup ranking. Small</w:t>
      </w:r>
      <w:r w:rsidRPr="00F36C89">
        <w:rPr>
          <w:sz w:val="32"/>
          <w:szCs w:val="32"/>
        </w:rPr>
        <w:t xml:space="preserve"> differences should be reported with effect sizes and confidence intervals, and labels that stigmatise schools or communities should be avoided.</w:t>
      </w:r>
    </w:p>
    <w:p w:rsidR="00715923" w:rsidRPr="00F36C89" w:rsidRDefault="007E7FEE">
      <w:pPr>
        <w:spacing w:after="140"/>
        <w:jc w:val="both"/>
        <w:rPr>
          <w:sz w:val="32"/>
          <w:szCs w:val="32"/>
        </w:rPr>
      </w:pPr>
      <w:r w:rsidRPr="00F36C89">
        <w:rPr>
          <w:sz w:val="32"/>
          <w:szCs w:val="32"/>
        </w:rPr>
        <w:t>The fifth principle is triangulation with prior scholarship. Results should be compared with algorithm-awarenes</w:t>
      </w:r>
      <w:r w:rsidRPr="00F36C89">
        <w:rPr>
          <w:sz w:val="32"/>
          <w:szCs w:val="32"/>
        </w:rPr>
        <w:t>s research, civic online reasoning assessments, misinformation-susceptibility studies, and Indian policy documents. Agreement with previous research would strengthen plausibility but would not erase local sampling limitations. Disagreement could reflect ag</w:t>
      </w:r>
      <w:r w:rsidRPr="00F36C89">
        <w:rPr>
          <w:sz w:val="32"/>
          <w:szCs w:val="32"/>
        </w:rPr>
        <w:t>e, curriculum, language, timing, platform change, or measurement. The literature search should be updated near submission because platform features, audience behaviour, and regulation in this area change rapidly.</w:t>
      </w:r>
    </w:p>
    <w:p w:rsidR="00715923" w:rsidRPr="00F36C89" w:rsidRDefault="007E7FEE">
      <w:pPr>
        <w:spacing w:after="140"/>
        <w:jc w:val="both"/>
        <w:rPr>
          <w:sz w:val="32"/>
          <w:szCs w:val="32"/>
        </w:rPr>
      </w:pPr>
      <w:r w:rsidRPr="00F36C89">
        <w:rPr>
          <w:sz w:val="32"/>
          <w:szCs w:val="32"/>
        </w:rPr>
        <w:t>Finally, future discussion should address n</w:t>
      </w:r>
      <w:r w:rsidRPr="00F36C89">
        <w:rPr>
          <w:sz w:val="32"/>
          <w:szCs w:val="32"/>
        </w:rPr>
        <w:t>egative, null, and mixed results. If an expected association is not observed, the explanation should not be invented after the fact. Plausible alternatives such as restricted range, insufficient power, measurement error, confounding, or a genuinely weak as</w:t>
      </w:r>
      <w:r w:rsidRPr="00F36C89">
        <w:rPr>
          <w:sz w:val="32"/>
          <w:szCs w:val="32"/>
        </w:rPr>
        <w:t>sociation should be evaluated against diagnostics and reported as uncertainty. The paper's contribution is credible evidence, not confirmation of every hypothesis.</w:t>
      </w:r>
    </w:p>
    <w:p w:rsidR="00715923" w:rsidRPr="00F36C89" w:rsidRDefault="007E7FEE">
      <w:pPr>
        <w:pStyle w:val="Heading1"/>
        <w:keepNext/>
        <w:spacing w:before="320" w:after="160"/>
        <w:rPr>
          <w:sz w:val="32"/>
          <w:szCs w:val="32"/>
        </w:rPr>
      </w:pPr>
      <w:r w:rsidRPr="00F36C89">
        <w:rPr>
          <w:b/>
          <w:bCs/>
          <w:color w:val="1F3864"/>
          <w:sz w:val="40"/>
          <w:szCs w:val="40"/>
        </w:rPr>
        <w:t>8. Educational and Policy Implications</w:t>
      </w:r>
    </w:p>
    <w:p w:rsidR="00715923" w:rsidRPr="00F36C89" w:rsidRDefault="007E7FEE">
      <w:pPr>
        <w:spacing w:after="140"/>
        <w:jc w:val="both"/>
        <w:rPr>
          <w:sz w:val="32"/>
          <w:szCs w:val="32"/>
        </w:rPr>
      </w:pPr>
      <w:r w:rsidRPr="00F36C89">
        <w:rPr>
          <w:sz w:val="32"/>
          <w:szCs w:val="32"/>
        </w:rPr>
        <w:t>The framework implies that school news education shou</w:t>
      </w:r>
      <w:r w:rsidRPr="00F36C89">
        <w:rPr>
          <w:sz w:val="32"/>
          <w:szCs w:val="32"/>
        </w:rPr>
        <w:t xml:space="preserve">ld move beyond one-time warnings about fake news and beyond generalised appeals to be careful online. A compact curriculum can teach a repeatable workflow: notice that a feed is selected rather than neutral; identify who produced a claim and who published </w:t>
      </w:r>
      <w:r w:rsidRPr="00F36C89">
        <w:rPr>
          <w:sz w:val="32"/>
          <w:szCs w:val="32"/>
        </w:rPr>
        <w:t>it first; decide whether the claim matters enough to check; check it laterally against an independent source; examine dates, images, and quoted evidence; decide whether to accept, set aside, or correct; and decide whether forwarding would help or harm. Thi</w:t>
      </w:r>
      <w:r w:rsidRPr="00F36C89">
        <w:rPr>
          <w:sz w:val="32"/>
          <w:szCs w:val="32"/>
        </w:rPr>
        <w:t xml:space="preserve">s workflow connects conceptual </w:t>
      </w:r>
      <w:r w:rsidRPr="00F36C89">
        <w:rPr>
          <w:sz w:val="32"/>
          <w:szCs w:val="32"/>
        </w:rPr>
        <w:lastRenderedPageBreak/>
        <w:t>understanding to observable behaviour and can be practised across subjects rather than confined to a single lesson.</w:t>
      </w:r>
    </w:p>
    <w:p w:rsidR="00715923" w:rsidRPr="00F36C89" w:rsidRDefault="007E7FEE">
      <w:pPr>
        <w:spacing w:after="140"/>
        <w:jc w:val="both"/>
        <w:rPr>
          <w:sz w:val="32"/>
          <w:szCs w:val="32"/>
        </w:rPr>
      </w:pPr>
      <w:r w:rsidRPr="00F36C89">
        <w:rPr>
          <w:sz w:val="32"/>
          <w:szCs w:val="32"/>
        </w:rPr>
        <w:t>Verification instruction should be explicit and concrete. Students can be given short feed items containing a</w:t>
      </w:r>
      <w:r w:rsidRPr="00F36C89">
        <w:rPr>
          <w:sz w:val="32"/>
          <w:szCs w:val="32"/>
        </w:rPr>
        <w:t xml:space="preserve"> mixture of accurate, misleading, and unsupported claims and asked to mark what they would check, where they would look, and what evidence would change their judgement. Teachers can model lateral reading, opening sources rather than counting them, checking</w:t>
      </w:r>
      <w:r w:rsidRPr="00F36C89">
        <w:rPr>
          <w:sz w:val="32"/>
          <w:szCs w:val="32"/>
        </w:rPr>
        <w:t xml:space="preserve"> whether an image belongs to the event it is attached to, and comparing a claim against textbooks or primary documents [10,43]. Assessment should reward the verification trail and the revision decision, not only the final polished answer.</w:t>
      </w:r>
    </w:p>
    <w:p w:rsidR="00715923" w:rsidRPr="00F36C89" w:rsidRDefault="007E7FEE">
      <w:pPr>
        <w:spacing w:after="140"/>
        <w:jc w:val="both"/>
        <w:rPr>
          <w:sz w:val="32"/>
          <w:szCs w:val="32"/>
        </w:rPr>
      </w:pPr>
      <w:r w:rsidRPr="00F36C89">
        <w:rPr>
          <w:sz w:val="32"/>
          <w:szCs w:val="32"/>
        </w:rPr>
        <w:t>Instruction shoul</w:t>
      </w:r>
      <w:r w:rsidRPr="00F36C89">
        <w:rPr>
          <w:sz w:val="32"/>
          <w:szCs w:val="32"/>
        </w:rPr>
        <w:t>d also avoid a well-documented failure mode. Teaching adolescents to distrust everything produces readers who dismiss credible reporting as readily as fabrication [60], and evidence suggests that the literacy component most closely associated with accurate</w:t>
      </w:r>
      <w:r w:rsidRPr="00F36C89">
        <w:rPr>
          <w:sz w:val="32"/>
          <w:szCs w:val="32"/>
        </w:rPr>
        <w:t xml:space="preserve"> identification of false content is the ability to locate and evaluate sources rather than generalised media scepticism [56]. Programmes should therefore be built around source-finding skills and calibrated judgement, and should be evaluated rather than as</w:t>
      </w:r>
      <w:r w:rsidRPr="00F36C89">
        <w:rPr>
          <w:sz w:val="32"/>
          <w:szCs w:val="32"/>
        </w:rPr>
        <w:t>sumed to work [55].</w:t>
      </w:r>
    </w:p>
    <w:p w:rsidR="00715923" w:rsidRPr="00F36C89" w:rsidRDefault="007E7FEE">
      <w:pPr>
        <w:spacing w:after="140"/>
        <w:jc w:val="both"/>
        <w:rPr>
          <w:sz w:val="32"/>
          <w:szCs w:val="32"/>
        </w:rPr>
      </w:pPr>
      <w:r w:rsidRPr="00F36C89">
        <w:rPr>
          <w:sz w:val="32"/>
          <w:szCs w:val="32"/>
        </w:rPr>
        <w:t>School policies should distinguish clearly between permitted use, expected verification, and harmful amplification, in age-appropriate language. Blanket bans on phones or platforms may remove the school's ability to teach the very behav</w:t>
      </w:r>
      <w:r w:rsidRPr="00F36C89">
        <w:rPr>
          <w:sz w:val="32"/>
          <w:szCs w:val="32"/>
        </w:rPr>
        <w:t>iours students need outside it, while unrestricted use without guidance leaves adolescents to learn ranking from experience alone. Clear examples are more useful than vague statements: checking before forwarding to a family group is expected; passing on an</w:t>
      </w:r>
      <w:r w:rsidRPr="00F36C89">
        <w:rPr>
          <w:sz w:val="32"/>
          <w:szCs w:val="32"/>
        </w:rPr>
        <w:t xml:space="preserve"> unverified claim about a named person or community is not; personal data should not be entered into unfamiliar sites; and students should be told how to raise concerns about harmful content without being presumed to have done something wrong.</w:t>
      </w:r>
    </w:p>
    <w:p w:rsidR="00715923" w:rsidRPr="00F36C89" w:rsidRDefault="007E7FEE">
      <w:pPr>
        <w:spacing w:after="140"/>
        <w:jc w:val="both"/>
        <w:rPr>
          <w:sz w:val="32"/>
          <w:szCs w:val="32"/>
        </w:rPr>
      </w:pPr>
      <w:r w:rsidRPr="00F36C89">
        <w:rPr>
          <w:sz w:val="32"/>
          <w:szCs w:val="32"/>
        </w:rPr>
        <w:t>Teacher capa</w:t>
      </w:r>
      <w:r w:rsidRPr="00F36C89">
        <w:rPr>
          <w:sz w:val="32"/>
          <w:szCs w:val="32"/>
        </w:rPr>
        <w:t>city and infrastructure are essential. Students cannot be expected to evaluate a feed in a vacuum when educators lack time, examples, or access to worked cases. Professional learning should include how ranking systems work at a conceptual level, how manipu</w:t>
      </w:r>
      <w:r w:rsidRPr="00F36C89">
        <w:rPr>
          <w:sz w:val="32"/>
          <w:szCs w:val="32"/>
        </w:rPr>
        <w:t xml:space="preserve">lated and synthetic media are produced and detected, privacy </w:t>
      </w:r>
      <w:r w:rsidRPr="00F36C89">
        <w:rPr>
          <w:sz w:val="32"/>
          <w:szCs w:val="32"/>
        </w:rPr>
        <w:lastRenderedPageBreak/>
        <w:t xml:space="preserve">and data collection, assessment design, and practical verification routines. Schools also need equitable arrangements for students without personal devices, so that verification exercises do not </w:t>
      </w:r>
      <w:r w:rsidRPr="00F36C89">
        <w:rPr>
          <w:sz w:val="32"/>
          <w:szCs w:val="32"/>
        </w:rPr>
        <w:t>become another axis of advantage.</w:t>
      </w:r>
    </w:p>
    <w:p w:rsidR="00715923" w:rsidRPr="00F36C89" w:rsidRDefault="007E7FEE">
      <w:pPr>
        <w:spacing w:after="140"/>
        <w:jc w:val="both"/>
        <w:rPr>
          <w:sz w:val="32"/>
          <w:szCs w:val="32"/>
        </w:rPr>
      </w:pPr>
      <w:r w:rsidRPr="00F36C89">
        <w:rPr>
          <w:sz w:val="32"/>
          <w:szCs w:val="32"/>
        </w:rPr>
        <w:t xml:space="preserve">At policy level, the study can inform curriculum implementation by identifying which competencies are weak within participating contexts, but it cannot rank states or represent India nationally. Findings should be used to </w:t>
      </w:r>
      <w:r w:rsidRPr="00F36C89">
        <w:rPr>
          <w:sz w:val="32"/>
          <w:szCs w:val="32"/>
        </w:rPr>
        <w:t xml:space="preserve">generate locally testable interventions, such as a short lateral-reading module or a privacy-and-forwarding lesson, followed by pre-post evaluation. The regulatory shift restricting behavioural tracking and targeted advertising directed at under-eighteens </w:t>
      </w:r>
      <w:r w:rsidRPr="00F36C89">
        <w:rPr>
          <w:sz w:val="32"/>
          <w:szCs w:val="32"/>
        </w:rPr>
        <w:t>creates an additional reason for schools to teach students what personalisation is and what rights they now hold in relation to it [20,21], and coordination among boards, schools, teachers, families, platforms, researchers, and child-safety authorities rem</w:t>
      </w:r>
      <w:r w:rsidRPr="00F36C89">
        <w:rPr>
          <w:sz w:val="32"/>
          <w:szCs w:val="32"/>
        </w:rPr>
        <w:t>ains necessary because literacy, governance, and access are inseparable [64,65].</w:t>
      </w:r>
    </w:p>
    <w:p w:rsidR="00715923" w:rsidRPr="00F36C89" w:rsidRDefault="007E7FEE">
      <w:pPr>
        <w:pStyle w:val="Heading1"/>
        <w:keepNext/>
        <w:spacing w:before="320" w:after="160"/>
        <w:rPr>
          <w:sz w:val="32"/>
          <w:szCs w:val="32"/>
        </w:rPr>
      </w:pPr>
      <w:r w:rsidRPr="00F36C89">
        <w:rPr>
          <w:b/>
          <w:bCs/>
          <w:color w:val="1F3864"/>
          <w:sz w:val="40"/>
          <w:szCs w:val="40"/>
        </w:rPr>
        <w:t>9. Limitations of the Proposed Study</w:t>
      </w:r>
    </w:p>
    <w:p w:rsidR="00715923" w:rsidRPr="00F36C89" w:rsidRDefault="007E7FEE">
      <w:pPr>
        <w:pStyle w:val="ListParagraph"/>
        <w:numPr>
          <w:ilvl w:val="0"/>
          <w:numId w:val="3"/>
        </w:numPr>
        <w:spacing w:after="80"/>
        <w:jc w:val="both"/>
        <w:rPr>
          <w:sz w:val="32"/>
          <w:szCs w:val="32"/>
        </w:rPr>
      </w:pPr>
      <w:r w:rsidRPr="00F36C89">
        <w:rPr>
          <w:sz w:val="32"/>
          <w:szCs w:val="32"/>
        </w:rPr>
        <w:t>The purposive participating-school sample will limit population inference and may over-represent schools already interested in technology,</w:t>
      </w:r>
      <w:r w:rsidRPr="00F36C89">
        <w:rPr>
          <w:sz w:val="32"/>
          <w:szCs w:val="32"/>
        </w:rPr>
        <w:t xml:space="preserve"> journalism, or research.</w:t>
      </w:r>
    </w:p>
    <w:p w:rsidR="00715923" w:rsidRPr="00F36C89" w:rsidRDefault="007E7FEE">
      <w:pPr>
        <w:pStyle w:val="ListParagraph"/>
        <w:numPr>
          <w:ilvl w:val="0"/>
          <w:numId w:val="3"/>
        </w:numPr>
        <w:spacing w:after="80"/>
        <w:jc w:val="both"/>
        <w:rPr>
          <w:sz w:val="32"/>
          <w:szCs w:val="32"/>
        </w:rPr>
      </w:pPr>
      <w:r w:rsidRPr="00F36C89">
        <w:rPr>
          <w:sz w:val="32"/>
          <w:szCs w:val="32"/>
        </w:rPr>
        <w:t>Cross-sectional data cannot establish causal direction among instruction, exposure, awareness, evaluation, trust, and sharing behaviour.</w:t>
      </w:r>
    </w:p>
    <w:p w:rsidR="00715923" w:rsidRPr="00F36C89" w:rsidRDefault="007E7FEE">
      <w:pPr>
        <w:pStyle w:val="ListParagraph"/>
        <w:numPr>
          <w:ilvl w:val="0"/>
          <w:numId w:val="3"/>
        </w:numPr>
        <w:spacing w:after="80"/>
        <w:jc w:val="both"/>
        <w:rPr>
          <w:sz w:val="32"/>
          <w:szCs w:val="32"/>
        </w:rPr>
      </w:pPr>
      <w:r w:rsidRPr="00F36C89">
        <w:rPr>
          <w:sz w:val="32"/>
          <w:szCs w:val="32"/>
        </w:rPr>
        <w:t>Self-reported behaviours may be influenced by recall and social desirability, although object</w:t>
      </w:r>
      <w:r w:rsidRPr="00F36C89">
        <w:rPr>
          <w:sz w:val="32"/>
          <w:szCs w:val="32"/>
        </w:rPr>
        <w:t>ive, scenario, and headline items reduce reliance on self-report alone.</w:t>
      </w:r>
    </w:p>
    <w:p w:rsidR="00715923" w:rsidRPr="00F36C89" w:rsidRDefault="007E7FEE">
      <w:pPr>
        <w:pStyle w:val="ListParagraph"/>
        <w:numPr>
          <w:ilvl w:val="0"/>
          <w:numId w:val="3"/>
        </w:numPr>
        <w:spacing w:after="80"/>
        <w:jc w:val="both"/>
        <w:rPr>
          <w:sz w:val="32"/>
          <w:szCs w:val="32"/>
        </w:rPr>
      </w:pPr>
      <w:r w:rsidRPr="00F36C89">
        <w:rPr>
          <w:sz w:val="32"/>
          <w:szCs w:val="32"/>
        </w:rPr>
        <w:t>An original instrument requires validation; scores cannot be treated as established measures until content, response-process, structural, reliability, and relationship evidence are eva</w:t>
      </w:r>
      <w:r w:rsidRPr="00F36C89">
        <w:rPr>
          <w:sz w:val="32"/>
          <w:szCs w:val="32"/>
        </w:rPr>
        <w:t>luated.</w:t>
      </w:r>
    </w:p>
    <w:p w:rsidR="00715923" w:rsidRPr="00F36C89" w:rsidRDefault="007E7FEE">
      <w:pPr>
        <w:pStyle w:val="ListParagraph"/>
        <w:numPr>
          <w:ilvl w:val="0"/>
          <w:numId w:val="3"/>
        </w:numPr>
        <w:spacing w:after="80"/>
        <w:jc w:val="both"/>
        <w:rPr>
          <w:sz w:val="32"/>
          <w:szCs w:val="32"/>
        </w:rPr>
      </w:pPr>
      <w:r w:rsidRPr="00F36C89">
        <w:rPr>
          <w:sz w:val="32"/>
          <w:szCs w:val="32"/>
        </w:rPr>
        <w:t>The headline task samples a small number of items from an enormous and shifting content space; performance on eight headlines is an indicator, not a comprehensive measure of a student's judgement.</w:t>
      </w:r>
    </w:p>
    <w:p w:rsidR="00715923" w:rsidRPr="00F36C89" w:rsidRDefault="007E7FEE">
      <w:pPr>
        <w:pStyle w:val="ListParagraph"/>
        <w:numPr>
          <w:ilvl w:val="0"/>
          <w:numId w:val="3"/>
        </w:numPr>
        <w:spacing w:after="80"/>
        <w:jc w:val="both"/>
        <w:rPr>
          <w:sz w:val="32"/>
          <w:szCs w:val="32"/>
        </w:rPr>
      </w:pPr>
      <w:r w:rsidRPr="00F36C89">
        <w:rPr>
          <w:sz w:val="32"/>
          <w:szCs w:val="32"/>
        </w:rPr>
        <w:lastRenderedPageBreak/>
        <w:t>Deliberate exclusion of partisan and communal conte</w:t>
      </w:r>
      <w:r w:rsidRPr="00F36C89">
        <w:rPr>
          <w:sz w:val="32"/>
          <w:szCs w:val="32"/>
        </w:rPr>
        <w:t>nt protects participants but also means the study cannot speak to politically motivated reasoning, which other research identifies as an important moderator.</w:t>
      </w:r>
    </w:p>
    <w:p w:rsidR="00715923" w:rsidRPr="00F36C89" w:rsidRDefault="007E7FEE">
      <w:pPr>
        <w:pStyle w:val="ListParagraph"/>
        <w:numPr>
          <w:ilvl w:val="0"/>
          <w:numId w:val="3"/>
        </w:numPr>
        <w:spacing w:after="80"/>
        <w:jc w:val="both"/>
        <w:rPr>
          <w:sz w:val="32"/>
          <w:szCs w:val="32"/>
        </w:rPr>
      </w:pPr>
      <w:r w:rsidRPr="00F36C89">
        <w:rPr>
          <w:sz w:val="32"/>
          <w:szCs w:val="32"/>
        </w:rPr>
        <w:t xml:space="preserve">Language translation and differing school terminology may affect item interpretation. Measurement </w:t>
      </w:r>
      <w:r w:rsidRPr="00F36C89">
        <w:rPr>
          <w:sz w:val="32"/>
          <w:szCs w:val="32"/>
        </w:rPr>
        <w:t>equivalence must not be assumed.</w:t>
      </w:r>
    </w:p>
    <w:p w:rsidR="00715923" w:rsidRPr="00F36C89" w:rsidRDefault="007E7FEE">
      <w:pPr>
        <w:pStyle w:val="ListParagraph"/>
        <w:numPr>
          <w:ilvl w:val="0"/>
          <w:numId w:val="3"/>
        </w:numPr>
        <w:spacing w:after="80"/>
        <w:jc w:val="both"/>
        <w:rPr>
          <w:sz w:val="32"/>
          <w:szCs w:val="32"/>
        </w:rPr>
      </w:pPr>
      <w:r w:rsidRPr="00F36C89">
        <w:rPr>
          <w:sz w:val="32"/>
          <w:szCs w:val="32"/>
        </w:rPr>
        <w:t>Rapid changes in platforms, interfaces, ranking systems, regulation, and public awareness may shorten the useful life of specific examples and comparison benchmarks.</w:t>
      </w:r>
    </w:p>
    <w:p w:rsidR="00715923" w:rsidRPr="00F36C89" w:rsidRDefault="007E7FEE">
      <w:pPr>
        <w:pStyle w:val="ListParagraph"/>
        <w:numPr>
          <w:ilvl w:val="0"/>
          <w:numId w:val="3"/>
        </w:numPr>
        <w:spacing w:after="80"/>
        <w:jc w:val="both"/>
        <w:rPr>
          <w:sz w:val="32"/>
          <w:szCs w:val="32"/>
        </w:rPr>
      </w:pPr>
      <w:r w:rsidRPr="00F36C89">
        <w:rPr>
          <w:sz w:val="32"/>
          <w:szCs w:val="32"/>
        </w:rPr>
        <w:t>School clustering and a modest number of sites may reduce</w:t>
      </w:r>
      <w:r w:rsidRPr="00F36C89">
        <w:rPr>
          <w:sz w:val="32"/>
          <w:szCs w:val="32"/>
        </w:rPr>
        <w:t xml:space="preserve"> statistical precision and constrain multilevel or subgroup analysis.</w:t>
      </w:r>
    </w:p>
    <w:p w:rsidR="00715923" w:rsidRPr="00F36C89" w:rsidRDefault="007E7FEE">
      <w:pPr>
        <w:pStyle w:val="ListParagraph"/>
        <w:numPr>
          <w:ilvl w:val="0"/>
          <w:numId w:val="3"/>
        </w:numPr>
        <w:spacing w:after="80"/>
        <w:jc w:val="both"/>
        <w:rPr>
          <w:sz w:val="32"/>
          <w:szCs w:val="32"/>
        </w:rPr>
      </w:pPr>
      <w:r w:rsidRPr="00F36C89">
        <w:rPr>
          <w:sz w:val="32"/>
          <w:szCs w:val="32"/>
        </w:rPr>
        <w:t>Students with limited access can answer knowledge, scenario, and headline items but cannot report experienced platform use, creating intentional skip-pattern differences that require car</w:t>
      </w:r>
      <w:r w:rsidRPr="00F36C89">
        <w:rPr>
          <w:sz w:val="32"/>
          <w:szCs w:val="32"/>
        </w:rPr>
        <w:t>eful denominators.</w:t>
      </w:r>
    </w:p>
    <w:p w:rsidR="00715923" w:rsidRPr="00F36C89" w:rsidRDefault="007E7FEE">
      <w:pPr>
        <w:pStyle w:val="ListParagraph"/>
        <w:numPr>
          <w:ilvl w:val="0"/>
          <w:numId w:val="3"/>
        </w:numPr>
        <w:spacing w:after="80"/>
        <w:jc w:val="both"/>
        <w:rPr>
          <w:sz w:val="32"/>
          <w:szCs w:val="32"/>
        </w:rPr>
      </w:pPr>
      <w:r w:rsidRPr="00F36C89">
        <w:rPr>
          <w:sz w:val="32"/>
          <w:szCs w:val="32"/>
        </w:rPr>
        <w:t>Optional open-ended responses can enrich interpretation but will not provide the depth of interviews or classroom observation.</w:t>
      </w:r>
    </w:p>
    <w:p w:rsidR="00715923" w:rsidRPr="00F36C89" w:rsidRDefault="007E7FEE">
      <w:pPr>
        <w:pStyle w:val="Heading1"/>
        <w:keepNext/>
        <w:spacing w:before="320" w:after="160"/>
        <w:rPr>
          <w:sz w:val="32"/>
          <w:szCs w:val="32"/>
        </w:rPr>
      </w:pPr>
      <w:r w:rsidRPr="00F36C89">
        <w:rPr>
          <w:b/>
          <w:bCs/>
          <w:color w:val="1F3864"/>
          <w:sz w:val="40"/>
          <w:szCs w:val="40"/>
        </w:rPr>
        <w:t>10. Future Research</w:t>
      </w:r>
    </w:p>
    <w:p w:rsidR="00715923" w:rsidRPr="00F36C89" w:rsidRDefault="007E7FEE">
      <w:pPr>
        <w:spacing w:after="140"/>
        <w:jc w:val="both"/>
        <w:rPr>
          <w:sz w:val="32"/>
          <w:szCs w:val="32"/>
        </w:rPr>
      </w:pPr>
      <w:r w:rsidRPr="00F36C89">
        <w:rPr>
          <w:sz w:val="32"/>
          <w:szCs w:val="32"/>
        </w:rPr>
        <w:t>A logical next stage is a pre-post evaluation of a short school-based module built around lateral reading, personalisation awareness, and responsible forwarding. Randomised or carefully matched designs could test whether instruction improves scenario perfo</w:t>
      </w:r>
      <w:r w:rsidRPr="00F36C89">
        <w:rPr>
          <w:sz w:val="32"/>
          <w:szCs w:val="32"/>
        </w:rPr>
        <w:t>rmance, discernment, and actual source-checking rather than confidence alone, and delayed follow-up would show whether routines persist. Given that existing Indian intervention evidence is mixed, replication with adolescent samples and locally developed ma</w:t>
      </w:r>
      <w:r w:rsidRPr="00F36C89">
        <w:rPr>
          <w:sz w:val="32"/>
          <w:szCs w:val="32"/>
        </w:rPr>
        <w:t>terials would be a substantive contribution in its own right.</w:t>
      </w:r>
    </w:p>
    <w:p w:rsidR="00715923" w:rsidRPr="00F36C89" w:rsidRDefault="007E7FEE">
      <w:pPr>
        <w:spacing w:after="140"/>
        <w:jc w:val="both"/>
        <w:rPr>
          <w:sz w:val="32"/>
          <w:szCs w:val="32"/>
        </w:rPr>
      </w:pPr>
      <w:r w:rsidRPr="00F36C89">
        <w:rPr>
          <w:sz w:val="32"/>
          <w:szCs w:val="32"/>
        </w:rPr>
        <w:t>Broader research should include more states, school boards, languages, and students with different accessibility needs. Probability-based or carefully weighted sampling would be needed for stron</w:t>
      </w:r>
      <w:r w:rsidRPr="00F36C89">
        <w:rPr>
          <w:sz w:val="32"/>
          <w:szCs w:val="32"/>
        </w:rPr>
        <w:t>ger population estimates. Longitudinal studies could examine how literacy changes as students gain independent device access and enter civic life. Studies that combine survey measures with consented, privacy-preserving behavioural traces, such as anonymise</w:t>
      </w:r>
      <w:r w:rsidRPr="00F36C89">
        <w:rPr>
          <w:sz w:val="32"/>
          <w:szCs w:val="32"/>
        </w:rPr>
        <w:t xml:space="preserve">d task logs from a verification </w:t>
      </w:r>
      <w:r w:rsidRPr="00F36C89">
        <w:rPr>
          <w:sz w:val="32"/>
          <w:szCs w:val="32"/>
        </w:rPr>
        <w:lastRenderedPageBreak/>
        <w:t>exercise, could test whether reported checking corresponds to observed checking without turning research into surveillance.</w:t>
      </w:r>
    </w:p>
    <w:p w:rsidR="00715923" w:rsidRPr="00F36C89" w:rsidRDefault="007E7FEE">
      <w:pPr>
        <w:spacing w:after="140"/>
        <w:jc w:val="both"/>
        <w:rPr>
          <w:sz w:val="32"/>
          <w:szCs w:val="32"/>
        </w:rPr>
      </w:pPr>
      <w:r w:rsidRPr="00F36C89">
        <w:rPr>
          <w:sz w:val="32"/>
          <w:szCs w:val="32"/>
        </w:rPr>
        <w:t>Future measurement research should test whether the proposed dimensions form distinct but related sc</w:t>
      </w:r>
      <w:r w:rsidRPr="00F36C89">
        <w:rPr>
          <w:sz w:val="32"/>
          <w:szCs w:val="32"/>
        </w:rPr>
        <w:t>ales and whether item functioning is comparable across language, class, and school context. Trust calibration deserves dedicated study because it may be non-linear and task dependent. The rapid spread of synthetic audio, video, and AI-generated summaries a</w:t>
      </w:r>
      <w:r w:rsidRPr="00F36C89">
        <w:rPr>
          <w:sz w:val="32"/>
          <w:szCs w:val="32"/>
        </w:rPr>
        <w:t>dds a further measurement frontier: instruments will need items about provenance of generated media, and those items will date quickly unless they are written at the level of principles rather than products.</w:t>
      </w:r>
    </w:p>
    <w:p w:rsidR="00715923" w:rsidRPr="00F36C89" w:rsidRDefault="007E7FEE">
      <w:pPr>
        <w:pStyle w:val="Heading1"/>
        <w:keepNext/>
        <w:spacing w:before="320" w:after="160"/>
        <w:rPr>
          <w:sz w:val="32"/>
          <w:szCs w:val="32"/>
        </w:rPr>
      </w:pPr>
      <w:r w:rsidRPr="00F36C89">
        <w:rPr>
          <w:b/>
          <w:bCs/>
          <w:color w:val="1F3864"/>
          <w:sz w:val="40"/>
          <w:szCs w:val="40"/>
        </w:rPr>
        <w:t>11. Conclusion</w:t>
      </w:r>
    </w:p>
    <w:p w:rsidR="00715923" w:rsidRPr="00F36C89" w:rsidRDefault="007E7FEE">
      <w:pPr>
        <w:spacing w:after="140"/>
        <w:jc w:val="both"/>
        <w:rPr>
          <w:sz w:val="32"/>
          <w:szCs w:val="32"/>
        </w:rPr>
      </w:pPr>
      <w:r w:rsidRPr="00F36C89">
        <w:rPr>
          <w:sz w:val="32"/>
          <w:szCs w:val="32"/>
        </w:rPr>
        <w:t>Algorithmic news literacy among s</w:t>
      </w:r>
      <w:r w:rsidRPr="00F36C89">
        <w:rPr>
          <w:sz w:val="32"/>
          <w:szCs w:val="32"/>
        </w:rPr>
        <w:t xml:space="preserve">econdary-school students cannot be inferred from platform access, from time spent on feeds, or from the confidence with which students say they can spot fake news. It requires age-appropriate understanding of how content is selected and ranked, competence </w:t>
      </w:r>
      <w:r w:rsidRPr="00F36C89">
        <w:rPr>
          <w:sz w:val="32"/>
          <w:szCs w:val="32"/>
        </w:rPr>
        <w:t>in tracing claims back to their sources, active verification of consequential claims, discernment that distinguishes true from false without collapsing into blanket distrust, recognition of privacy and targeting risks, and restraint and responsibility in f</w:t>
      </w:r>
      <w:r w:rsidRPr="00F36C89">
        <w:rPr>
          <w:sz w:val="32"/>
          <w:szCs w:val="32"/>
        </w:rPr>
        <w:t>orwarding. Indian policy, curricular, and regulatory developments make these competencies increasingly relevant, but they do not substitute for empirical evidence about students' actual knowledge and practices.</w:t>
      </w:r>
    </w:p>
    <w:p w:rsidR="00715923" w:rsidRPr="00F36C89" w:rsidRDefault="007E7FEE">
      <w:pPr>
        <w:spacing w:after="140"/>
        <w:jc w:val="both"/>
        <w:rPr>
          <w:sz w:val="32"/>
          <w:szCs w:val="32"/>
        </w:rPr>
      </w:pPr>
      <w:r w:rsidRPr="00F36C89">
        <w:rPr>
          <w:sz w:val="32"/>
          <w:szCs w:val="32"/>
        </w:rPr>
        <w:t xml:space="preserve">This paper provides a complete and ethically </w:t>
      </w:r>
      <w:r w:rsidRPr="00F36C89">
        <w:rPr>
          <w:sz w:val="32"/>
          <w:szCs w:val="32"/>
        </w:rPr>
        <w:t>bounded protocol for producing that evidence among Classes IX and X students. Its mixed-format questionnaire, conceptual model, validation pathway, sampling strategy, safeguards for minors, and prespecified analysis plan are designed to make future finding</w:t>
      </w:r>
      <w:r w:rsidRPr="00F36C89">
        <w:rPr>
          <w:sz w:val="32"/>
          <w:szCs w:val="32"/>
        </w:rPr>
        <w:t xml:space="preserve">s interpretable and reproducible. The boundary is equally important: no participant characteristics, statistics, results, quotations, or empirical graphs are reported before genuine data collection. The next valid step is not to write a persuasive Results </w:t>
      </w:r>
      <w:r w:rsidRPr="00F36C89">
        <w:rPr>
          <w:sz w:val="32"/>
          <w:szCs w:val="32"/>
        </w:rPr>
        <w:t>section; it is to obtain appropriate adult and institutional oversight, pilot the instrument, recruit transparently, and analyse real responses according to the documented plan.</w:t>
      </w:r>
    </w:p>
    <w:p w:rsidR="00715923" w:rsidRPr="00F36C89" w:rsidRDefault="007E7FEE">
      <w:pPr>
        <w:pStyle w:val="Heading1"/>
        <w:keepNext/>
        <w:spacing w:before="320" w:after="160"/>
        <w:rPr>
          <w:sz w:val="32"/>
          <w:szCs w:val="32"/>
        </w:rPr>
      </w:pPr>
      <w:r w:rsidRPr="00F36C89">
        <w:rPr>
          <w:b/>
          <w:bCs/>
          <w:color w:val="1F3864"/>
          <w:sz w:val="40"/>
          <w:szCs w:val="40"/>
        </w:rPr>
        <w:lastRenderedPageBreak/>
        <w:t>Acknowledgments</w:t>
      </w:r>
    </w:p>
    <w:p w:rsidR="00715923" w:rsidRPr="00F36C89" w:rsidRDefault="007E7FEE">
      <w:pPr>
        <w:spacing w:after="140"/>
        <w:jc w:val="both"/>
        <w:rPr>
          <w:sz w:val="32"/>
          <w:szCs w:val="32"/>
        </w:rPr>
      </w:pPr>
      <w:r w:rsidRPr="00F36C89">
        <w:rPr>
          <w:sz w:val="32"/>
          <w:szCs w:val="32"/>
        </w:rPr>
        <w:t>The author thanks [named adult research mentor], who is to be identified before submission, for supervisory oversight of a study involving minors, and [named expert reviewers] for content review of the draft instrument. Named individuals must agree to be a</w:t>
      </w:r>
      <w:r w:rsidRPr="00F36C89">
        <w:rPr>
          <w:sz w:val="32"/>
          <w:szCs w:val="32"/>
        </w:rPr>
        <w:t>cknowledged before the manuscript is submitted. No participants, schools, or funders are acknowledged at this stage because recruitment has not taken place.</w:t>
      </w:r>
    </w:p>
    <w:p w:rsidR="00715923" w:rsidRPr="00F36C89" w:rsidRDefault="007E7FEE">
      <w:pPr>
        <w:spacing w:after="140"/>
        <w:jc w:val="both"/>
        <w:rPr>
          <w:sz w:val="32"/>
          <w:szCs w:val="32"/>
        </w:rPr>
      </w:pPr>
      <w:r w:rsidRPr="00F36C89">
        <w:rPr>
          <w:b/>
          <w:bCs/>
          <w:sz w:val="32"/>
          <w:szCs w:val="32"/>
        </w:rPr>
        <w:t>Funding.</w:t>
      </w:r>
      <w:r w:rsidRPr="00F36C89">
        <w:rPr>
          <w:sz w:val="32"/>
          <w:szCs w:val="32"/>
        </w:rPr>
        <w:t xml:space="preserve"> No funding was received for this work.</w:t>
      </w:r>
    </w:p>
    <w:p w:rsidR="00715923" w:rsidRPr="00F36C89" w:rsidRDefault="007E7FEE">
      <w:pPr>
        <w:spacing w:after="140"/>
        <w:jc w:val="both"/>
        <w:rPr>
          <w:sz w:val="32"/>
          <w:szCs w:val="32"/>
        </w:rPr>
      </w:pPr>
      <w:r w:rsidRPr="00F36C89">
        <w:rPr>
          <w:b/>
          <w:bCs/>
          <w:sz w:val="32"/>
          <w:szCs w:val="32"/>
        </w:rPr>
        <w:t>Competing interests.</w:t>
      </w:r>
      <w:r w:rsidRPr="00F36C89">
        <w:rPr>
          <w:sz w:val="32"/>
          <w:szCs w:val="32"/>
        </w:rPr>
        <w:t xml:space="preserve"> The author declares no competi</w:t>
      </w:r>
      <w:r w:rsidRPr="00F36C89">
        <w:rPr>
          <w:sz w:val="32"/>
          <w:szCs w:val="32"/>
        </w:rPr>
        <w:t>ng interests.</w:t>
      </w:r>
    </w:p>
    <w:p w:rsidR="00715923" w:rsidRPr="00F36C89" w:rsidRDefault="007E7FEE">
      <w:pPr>
        <w:spacing w:after="140"/>
        <w:jc w:val="both"/>
        <w:rPr>
          <w:sz w:val="32"/>
          <w:szCs w:val="32"/>
        </w:rPr>
      </w:pPr>
      <w:r w:rsidRPr="00F36C89">
        <w:rPr>
          <w:b/>
          <w:bCs/>
          <w:sz w:val="32"/>
          <w:szCs w:val="32"/>
        </w:rPr>
        <w:t>Data availability.</w:t>
      </w:r>
      <w:r w:rsidRPr="00F36C89">
        <w:rPr>
          <w:sz w:val="32"/>
          <w:szCs w:val="32"/>
        </w:rPr>
        <w:t xml:space="preserve"> No datasets were generated or analysed for this manuscript. The draft instrument, codebook, and participant materials are provided in the appendices. Upon completion of data collection, de-identified analysis data, scoring </w:t>
      </w:r>
      <w:r w:rsidRPr="00F36C89">
        <w:rPr>
          <w:sz w:val="32"/>
          <w:szCs w:val="32"/>
        </w:rPr>
        <w:t>rules, and analysis code will be deposited in a trustworthy public repository with a persistent identifier, subject to ethics approval and disclosure-risk review.</w:t>
      </w:r>
    </w:p>
    <w:p w:rsidR="00715923" w:rsidRPr="00F36C89" w:rsidRDefault="007E7FEE">
      <w:pPr>
        <w:spacing w:after="140"/>
        <w:jc w:val="both"/>
        <w:rPr>
          <w:sz w:val="32"/>
          <w:szCs w:val="32"/>
        </w:rPr>
      </w:pPr>
      <w:r w:rsidRPr="00F36C89">
        <w:rPr>
          <w:b/>
          <w:bCs/>
          <w:sz w:val="32"/>
          <w:szCs w:val="32"/>
        </w:rPr>
        <w:t>Author contributions.</w:t>
      </w:r>
      <w:r w:rsidRPr="00F36C89">
        <w:rPr>
          <w:sz w:val="32"/>
          <w:szCs w:val="32"/>
        </w:rPr>
        <w:t xml:space="preserve"> Aryaveer Singh conceived the study, developed the conceptual framework,</w:t>
      </w:r>
      <w:r w:rsidRPr="00F36C89">
        <w:rPr>
          <w:sz w:val="32"/>
          <w:szCs w:val="32"/>
        </w:rPr>
        <w:t xml:space="preserve"> drafted the instrument and analysis plan, and wrote the manuscript.</w:t>
      </w:r>
    </w:p>
    <w:p w:rsidR="00715923" w:rsidRPr="00F36C89" w:rsidRDefault="007E7FEE">
      <w:pPr>
        <w:pStyle w:val="Heading1"/>
        <w:keepNext/>
        <w:pageBreakBefore/>
        <w:spacing w:before="320" w:after="160"/>
        <w:rPr>
          <w:sz w:val="32"/>
          <w:szCs w:val="32"/>
        </w:rPr>
      </w:pPr>
      <w:r w:rsidRPr="00F36C89">
        <w:rPr>
          <w:b/>
          <w:bCs/>
          <w:color w:val="1F3864"/>
          <w:sz w:val="40"/>
          <w:szCs w:val="40"/>
        </w:rPr>
        <w:lastRenderedPageBreak/>
        <w:t>References</w:t>
      </w:r>
    </w:p>
    <w:p w:rsidR="00715923" w:rsidRPr="00F36C89" w:rsidRDefault="007E7FEE">
      <w:pPr>
        <w:spacing w:after="200"/>
        <w:jc w:val="both"/>
        <w:rPr>
          <w:sz w:val="32"/>
          <w:szCs w:val="32"/>
        </w:rPr>
      </w:pPr>
      <w:r w:rsidRPr="00F36C89">
        <w:rPr>
          <w:color w:val="595959"/>
          <w:sz w:val="24"/>
          <w:szCs w:val="24"/>
        </w:rPr>
        <w:t>Reference style: Vancouver (numbered citation-sequence). References are numbered in the order of first appearance in the text and cited in square brackets. Uniform resource loc</w:t>
      </w:r>
      <w:r w:rsidRPr="00F36C89">
        <w:rPr>
          <w:color w:val="595959"/>
          <w:sz w:val="24"/>
          <w:szCs w:val="24"/>
        </w:rPr>
        <w:t>ators and digital object identifiers should be re-verified immediately before submission.</w:t>
      </w:r>
    </w:p>
    <w:p w:rsidR="00715923" w:rsidRPr="00F36C89" w:rsidRDefault="007E7FEE">
      <w:pPr>
        <w:spacing w:after="80"/>
        <w:ind w:left="460" w:hanging="460"/>
        <w:rPr>
          <w:sz w:val="32"/>
          <w:szCs w:val="32"/>
        </w:rPr>
      </w:pPr>
      <w:r w:rsidRPr="00F36C89">
        <w:rPr>
          <w:sz w:val="28"/>
          <w:szCs w:val="28"/>
        </w:rPr>
        <w:t>1. Newman N, Fletcher R, Robertson CT, Arguedas AR, Nielsen RK. Reuters Institute Digital News Report 2025. Oxford: Reuters Institute for the Study of Journalism, Uni</w:t>
      </w:r>
      <w:r w:rsidRPr="00F36C89">
        <w:rPr>
          <w:sz w:val="28"/>
          <w:szCs w:val="28"/>
        </w:rPr>
        <w:t>versity of Oxford; 2025. Available from: https://reutersinstitute.politics.ox.ac.uk/digital-news-report/2025</w:t>
      </w:r>
    </w:p>
    <w:p w:rsidR="00715923" w:rsidRPr="00F36C89" w:rsidRDefault="007E7FEE">
      <w:pPr>
        <w:spacing w:after="80"/>
        <w:ind w:left="460" w:hanging="460"/>
        <w:rPr>
          <w:sz w:val="32"/>
          <w:szCs w:val="32"/>
        </w:rPr>
      </w:pPr>
      <w:r w:rsidRPr="00F36C89">
        <w:rPr>
          <w:sz w:val="28"/>
          <w:szCs w:val="28"/>
        </w:rPr>
        <w:t>2. Reuters Institute for the Study of Journalism. India. In: Digital News Report 2025. Oxford: University of Oxford; 2025. Available from: https://</w:t>
      </w:r>
      <w:r w:rsidRPr="00F36C89">
        <w:rPr>
          <w:sz w:val="28"/>
          <w:szCs w:val="28"/>
        </w:rPr>
        <w:t>reutersinstitute.politics.ox.ac.uk/digital-news-report/2025/india</w:t>
      </w:r>
    </w:p>
    <w:p w:rsidR="00715923" w:rsidRPr="00F36C89" w:rsidRDefault="007E7FEE">
      <w:pPr>
        <w:spacing w:after="80"/>
        <w:ind w:left="460" w:hanging="460"/>
        <w:rPr>
          <w:sz w:val="32"/>
          <w:szCs w:val="32"/>
        </w:rPr>
      </w:pPr>
      <w:r w:rsidRPr="00F36C89">
        <w:rPr>
          <w:sz w:val="28"/>
          <w:szCs w:val="28"/>
        </w:rPr>
        <w:t>3. Thorson K, Wells C. Curated flows: a framework for mapping media exposure in the digital age. Commun Theory. 2016;26(3):309-28. doi:10.1111/comt.12087</w:t>
      </w:r>
    </w:p>
    <w:p w:rsidR="00715923" w:rsidRPr="00F36C89" w:rsidRDefault="007E7FEE">
      <w:pPr>
        <w:spacing w:after="80"/>
        <w:ind w:left="460" w:hanging="460"/>
        <w:rPr>
          <w:sz w:val="32"/>
          <w:szCs w:val="32"/>
        </w:rPr>
      </w:pPr>
      <w:r w:rsidRPr="00F36C89">
        <w:rPr>
          <w:sz w:val="28"/>
          <w:szCs w:val="28"/>
        </w:rPr>
        <w:t>4. Eslami M, Rickman A, Vaccaro K, A</w:t>
      </w:r>
      <w:r w:rsidRPr="00F36C89">
        <w:rPr>
          <w:sz w:val="28"/>
          <w:szCs w:val="28"/>
        </w:rPr>
        <w:t>leyasen A, Vuong A, Karahalios K, et al. "I always assumed that I wasn't really that close to [her]": reasoning about invisible algorithms in news feeds. In: Proceedings of the 33rd Annual ACM Conference on Human Factors in Computing Systems (CHI '15). New</w:t>
      </w:r>
      <w:r w:rsidRPr="00F36C89">
        <w:rPr>
          <w:sz w:val="28"/>
          <w:szCs w:val="28"/>
        </w:rPr>
        <w:t xml:space="preserve"> York: Association for Computing Machinery; 2015. p. 153-62. doi:10.1145/2702123.2702556</w:t>
      </w:r>
    </w:p>
    <w:p w:rsidR="00715923" w:rsidRPr="00F36C89" w:rsidRDefault="007E7FEE">
      <w:pPr>
        <w:spacing w:after="80"/>
        <w:ind w:left="460" w:hanging="460"/>
        <w:rPr>
          <w:sz w:val="32"/>
          <w:szCs w:val="32"/>
        </w:rPr>
      </w:pPr>
      <w:r w:rsidRPr="00F36C89">
        <w:rPr>
          <w:sz w:val="28"/>
          <w:szCs w:val="28"/>
        </w:rPr>
        <w:t>5. Rader E, Gray R. Understanding user beliefs about algorithmic curation in the Facebook news feed. In: Proceedings of the 33rd Annual ACM Conference on Human Factors</w:t>
      </w:r>
      <w:r w:rsidRPr="00F36C89">
        <w:rPr>
          <w:sz w:val="28"/>
          <w:szCs w:val="28"/>
        </w:rPr>
        <w:t xml:space="preserve"> in Computing Systems (CHI '15). New York: Association for Computing Machinery; 2015. p. 173-82. doi:10.1145/2702123.2702174</w:t>
      </w:r>
    </w:p>
    <w:p w:rsidR="00715923" w:rsidRPr="00F36C89" w:rsidRDefault="007E7FEE">
      <w:pPr>
        <w:spacing w:after="80"/>
        <w:ind w:left="460" w:hanging="460"/>
        <w:rPr>
          <w:sz w:val="32"/>
          <w:szCs w:val="32"/>
        </w:rPr>
      </w:pPr>
      <w:r w:rsidRPr="00F36C89">
        <w:rPr>
          <w:sz w:val="28"/>
          <w:szCs w:val="28"/>
        </w:rPr>
        <w:t>6. DeVito MA. Adaptive folk theorization as a path to algorithmic literacy on changing platforms. Proc ACM Hum-Comput Interact. 202</w:t>
      </w:r>
      <w:r w:rsidRPr="00F36C89">
        <w:rPr>
          <w:sz w:val="28"/>
          <w:szCs w:val="28"/>
        </w:rPr>
        <w:t>1;5(CSCW2):Article 339. doi:10.1145/3476080</w:t>
      </w:r>
    </w:p>
    <w:p w:rsidR="00715923" w:rsidRPr="00F36C89" w:rsidRDefault="007E7FEE">
      <w:pPr>
        <w:spacing w:after="80"/>
        <w:ind w:left="460" w:hanging="460"/>
        <w:rPr>
          <w:sz w:val="32"/>
          <w:szCs w:val="32"/>
        </w:rPr>
      </w:pPr>
      <w:r w:rsidRPr="00F36C89">
        <w:rPr>
          <w:sz w:val="28"/>
          <w:szCs w:val="28"/>
        </w:rPr>
        <w:t>7. Wardle C, Derakhshan H. Information disorder: toward an interdisciplinary framework for research and policy making. Strasbourg: Council of Europe; 2017. Report No.: DGI(2017)09.</w:t>
      </w:r>
    </w:p>
    <w:p w:rsidR="00715923" w:rsidRPr="00F36C89" w:rsidRDefault="007E7FEE">
      <w:pPr>
        <w:spacing w:after="80"/>
        <w:ind w:left="460" w:hanging="460"/>
        <w:rPr>
          <w:sz w:val="32"/>
          <w:szCs w:val="32"/>
        </w:rPr>
      </w:pPr>
      <w:r w:rsidRPr="00F36C89">
        <w:rPr>
          <w:sz w:val="28"/>
          <w:szCs w:val="28"/>
        </w:rPr>
        <w:t>8. Breakstone J, Smith M, Wineb</w:t>
      </w:r>
      <w:r w:rsidRPr="00F36C89">
        <w:rPr>
          <w:sz w:val="28"/>
          <w:szCs w:val="28"/>
        </w:rPr>
        <w:t>urg S, Rapaport A, Carle J, Garland M, et al. Students' civic online reasoning: a national portrait. Educ Res. 2021;50(8):505-15. doi:10.3102/0013189X211017495</w:t>
      </w:r>
    </w:p>
    <w:p w:rsidR="00715923" w:rsidRPr="00F36C89" w:rsidRDefault="007E7FEE">
      <w:pPr>
        <w:spacing w:after="80"/>
        <w:ind w:left="460" w:hanging="460"/>
        <w:rPr>
          <w:sz w:val="32"/>
          <w:szCs w:val="32"/>
        </w:rPr>
      </w:pPr>
      <w:r w:rsidRPr="00F36C89">
        <w:rPr>
          <w:sz w:val="28"/>
          <w:szCs w:val="28"/>
        </w:rPr>
        <w:t xml:space="preserve">9. McGrew S, Breakstone J, Ortega T, Smith M, Wineburg S. Can students evaluate online sources? </w:t>
      </w:r>
      <w:r w:rsidRPr="00F36C89">
        <w:rPr>
          <w:sz w:val="28"/>
          <w:szCs w:val="28"/>
        </w:rPr>
        <w:t>Learning from assessments of civic online reasoning. Theory Res Soc Educ. 2018;46(2):165-93. doi:10.1080/00933104.2017.1416320</w:t>
      </w:r>
    </w:p>
    <w:p w:rsidR="00715923" w:rsidRPr="00F36C89" w:rsidRDefault="007E7FEE">
      <w:pPr>
        <w:spacing w:after="80"/>
        <w:ind w:left="460" w:hanging="460"/>
        <w:rPr>
          <w:sz w:val="32"/>
          <w:szCs w:val="32"/>
        </w:rPr>
      </w:pPr>
      <w:r w:rsidRPr="00F36C89">
        <w:rPr>
          <w:sz w:val="28"/>
          <w:szCs w:val="28"/>
        </w:rPr>
        <w:lastRenderedPageBreak/>
        <w:t>10. Wineburg S, McGrew S. Lateral reading and the nature of expertise: reading less and learning more when evaluating digital inf</w:t>
      </w:r>
      <w:r w:rsidRPr="00F36C89">
        <w:rPr>
          <w:sz w:val="28"/>
          <w:szCs w:val="28"/>
        </w:rPr>
        <w:t>ormation. Teach Coll Rec. 2019;121(11):1-40. doi:10.1177/016146811912101102</w:t>
      </w:r>
    </w:p>
    <w:p w:rsidR="00715923" w:rsidRPr="00F36C89" w:rsidRDefault="007E7FEE">
      <w:pPr>
        <w:spacing w:after="80"/>
        <w:ind w:left="460" w:hanging="460"/>
        <w:rPr>
          <w:sz w:val="32"/>
          <w:szCs w:val="32"/>
        </w:rPr>
      </w:pPr>
      <w:r w:rsidRPr="00F36C89">
        <w:rPr>
          <w:sz w:val="28"/>
          <w:szCs w:val="28"/>
        </w:rPr>
        <w:t>11. Vosoughi S, Roy D, Aral S. The spread of true and false news online. Science. 2018;359(6380):1146-51. doi:10.1126/science.aap9559</w:t>
      </w:r>
    </w:p>
    <w:p w:rsidR="00715923" w:rsidRPr="00F36C89" w:rsidRDefault="007E7FEE">
      <w:pPr>
        <w:spacing w:after="80"/>
        <w:ind w:left="460" w:hanging="460"/>
        <w:rPr>
          <w:sz w:val="32"/>
          <w:szCs w:val="32"/>
        </w:rPr>
      </w:pPr>
      <w:r w:rsidRPr="00F36C89">
        <w:rPr>
          <w:sz w:val="28"/>
          <w:szCs w:val="28"/>
        </w:rPr>
        <w:t>12. Banaji S, Bhat R. WhatsApp vigilantes: an exploration of citizen reception and circulation of WhatsApp misinformation linked to mob violence in India. London: Department of Media and Communications, London School of Economics and Political Science; 201</w:t>
      </w:r>
      <w:r w:rsidRPr="00F36C89">
        <w:rPr>
          <w:sz w:val="28"/>
          <w:szCs w:val="28"/>
        </w:rPr>
        <w:t>9.</w:t>
      </w:r>
    </w:p>
    <w:p w:rsidR="00715923" w:rsidRPr="00F36C89" w:rsidRDefault="007E7FEE">
      <w:pPr>
        <w:spacing w:after="80"/>
        <w:ind w:left="460" w:hanging="460"/>
        <w:rPr>
          <w:sz w:val="32"/>
          <w:szCs w:val="32"/>
        </w:rPr>
      </w:pPr>
      <w:r w:rsidRPr="00F36C89">
        <w:rPr>
          <w:sz w:val="28"/>
          <w:szCs w:val="28"/>
        </w:rPr>
        <w:t>13. Garimella K, Eckles D. Images and misinformation in political groups: evidence from WhatsApp in India. Harvard Kennedy School Misinformation Rev. 2020;1(5). doi:10.37016/mr-2020-030</w:t>
      </w:r>
    </w:p>
    <w:p w:rsidR="00715923" w:rsidRPr="00F36C89" w:rsidRDefault="007E7FEE">
      <w:pPr>
        <w:spacing w:after="80"/>
        <w:ind w:left="460" w:hanging="460"/>
        <w:rPr>
          <w:sz w:val="32"/>
          <w:szCs w:val="32"/>
        </w:rPr>
      </w:pPr>
      <w:r w:rsidRPr="00F36C89">
        <w:rPr>
          <w:sz w:val="28"/>
          <w:szCs w:val="28"/>
        </w:rPr>
        <w:t>14. Guess AM, Lerner M, Lyons B, Montgomery JM, Nyhan B, Reifler J,</w:t>
      </w:r>
      <w:r w:rsidRPr="00F36C89">
        <w:rPr>
          <w:sz w:val="28"/>
          <w:szCs w:val="28"/>
        </w:rPr>
        <w:t xml:space="preserve"> et al. A digital media literacy intervention increases discernment between mainstream and false news in the United States and India. Proc Natl Acad Sci U S A. 2020;117(27):15536-45. doi:10.1073/pnas.1920498117</w:t>
      </w:r>
    </w:p>
    <w:p w:rsidR="00715923" w:rsidRPr="00F36C89" w:rsidRDefault="007E7FEE">
      <w:pPr>
        <w:spacing w:after="80"/>
        <w:ind w:left="460" w:hanging="460"/>
        <w:rPr>
          <w:sz w:val="32"/>
          <w:szCs w:val="32"/>
        </w:rPr>
      </w:pPr>
      <w:r w:rsidRPr="00F36C89">
        <w:rPr>
          <w:sz w:val="28"/>
          <w:szCs w:val="28"/>
        </w:rPr>
        <w:t>15. Badrinathan S. Educative interventions to</w:t>
      </w:r>
      <w:r w:rsidRPr="00F36C89">
        <w:rPr>
          <w:sz w:val="28"/>
          <w:szCs w:val="28"/>
        </w:rPr>
        <w:t xml:space="preserve"> combat misinformation: evidence from a field experiment in India. Am Polit Sci Rev. 2021;115(4):1325-41. doi:10.1017/S0003055421000459</w:t>
      </w:r>
    </w:p>
    <w:p w:rsidR="00715923" w:rsidRPr="00F36C89" w:rsidRDefault="007E7FEE">
      <w:pPr>
        <w:spacing w:after="80"/>
        <w:ind w:left="460" w:hanging="460"/>
        <w:rPr>
          <w:sz w:val="32"/>
          <w:szCs w:val="32"/>
        </w:rPr>
      </w:pPr>
      <w:r w:rsidRPr="00F36C89">
        <w:rPr>
          <w:sz w:val="28"/>
          <w:szCs w:val="28"/>
        </w:rPr>
        <w:t>16. Ministry of Human Resource Development, Government of India. National Education Policy 2020. New Delhi: Government o</w:t>
      </w:r>
      <w:r w:rsidRPr="00F36C89">
        <w:rPr>
          <w:sz w:val="28"/>
          <w:szCs w:val="28"/>
        </w:rPr>
        <w:t>f India; 2020.</w:t>
      </w:r>
    </w:p>
    <w:p w:rsidR="00715923" w:rsidRPr="00F36C89" w:rsidRDefault="007E7FEE">
      <w:pPr>
        <w:spacing w:after="80"/>
        <w:ind w:left="460" w:hanging="460"/>
        <w:rPr>
          <w:sz w:val="32"/>
          <w:szCs w:val="32"/>
        </w:rPr>
      </w:pPr>
      <w:r w:rsidRPr="00F36C89">
        <w:rPr>
          <w:sz w:val="28"/>
          <w:szCs w:val="28"/>
        </w:rPr>
        <w:t>17. National Council of Educational Research and Training. National Curriculum Framework for School Education 2023. New Delhi: NCERT; 2023.</w:t>
      </w:r>
    </w:p>
    <w:p w:rsidR="00715923" w:rsidRPr="00F36C89" w:rsidRDefault="007E7FEE">
      <w:pPr>
        <w:spacing w:after="80"/>
        <w:ind w:left="460" w:hanging="460"/>
        <w:rPr>
          <w:sz w:val="32"/>
          <w:szCs w:val="32"/>
        </w:rPr>
      </w:pPr>
      <w:r w:rsidRPr="00F36C89">
        <w:rPr>
          <w:sz w:val="28"/>
          <w:szCs w:val="28"/>
        </w:rPr>
        <w:t>18. Central Board of Secondary Education. Artificial intelligence (417): Class IX curriculum, session</w:t>
      </w:r>
      <w:r w:rsidRPr="00F36C89">
        <w:rPr>
          <w:sz w:val="28"/>
          <w:szCs w:val="28"/>
        </w:rPr>
        <w:t xml:space="preserve"> 2026-2027. New Delhi: CBSE; 2026.</w:t>
      </w:r>
    </w:p>
    <w:p w:rsidR="00715923" w:rsidRPr="00F36C89" w:rsidRDefault="007E7FEE">
      <w:pPr>
        <w:spacing w:after="80"/>
        <w:ind w:left="460" w:hanging="460"/>
        <w:rPr>
          <w:sz w:val="32"/>
          <w:szCs w:val="32"/>
        </w:rPr>
      </w:pPr>
      <w:r w:rsidRPr="00F36C89">
        <w:rPr>
          <w:sz w:val="28"/>
          <w:szCs w:val="28"/>
        </w:rPr>
        <w:t>19. Central Board of Secondary Education. Artificial intelligence (417): Class X curriculum, session 2026-2027. New Delhi: CBSE; 2026.</w:t>
      </w:r>
    </w:p>
    <w:p w:rsidR="00715923" w:rsidRPr="00F36C89" w:rsidRDefault="007E7FEE">
      <w:pPr>
        <w:spacing w:after="80"/>
        <w:ind w:left="460" w:hanging="460"/>
        <w:rPr>
          <w:sz w:val="32"/>
          <w:szCs w:val="32"/>
        </w:rPr>
      </w:pPr>
      <w:r w:rsidRPr="00F36C89">
        <w:rPr>
          <w:sz w:val="28"/>
          <w:szCs w:val="28"/>
        </w:rPr>
        <w:t>20. Ministry of Law and Justice, Government of India. The Digital Personal Data Protec</w:t>
      </w:r>
      <w:r w:rsidRPr="00F36C89">
        <w:rPr>
          <w:sz w:val="28"/>
          <w:szCs w:val="28"/>
        </w:rPr>
        <w:t>tion Act, 2023 (No. 22 of 2023). New Delhi: Gazette of India; 2023.</w:t>
      </w:r>
    </w:p>
    <w:p w:rsidR="00715923" w:rsidRPr="00F36C89" w:rsidRDefault="007E7FEE">
      <w:pPr>
        <w:spacing w:after="80"/>
        <w:ind w:left="460" w:hanging="460"/>
        <w:rPr>
          <w:sz w:val="32"/>
          <w:szCs w:val="32"/>
        </w:rPr>
      </w:pPr>
      <w:r w:rsidRPr="00F36C89">
        <w:rPr>
          <w:sz w:val="28"/>
          <w:szCs w:val="28"/>
        </w:rPr>
        <w:t>21. Ministry of Electronics and Information Technology, Government of India. Digital Personal Data Protection Rules, 2025. New Delhi: Gazette of India; 2025.</w:t>
      </w:r>
    </w:p>
    <w:p w:rsidR="00715923" w:rsidRPr="00F36C89" w:rsidRDefault="007E7FEE">
      <w:pPr>
        <w:spacing w:after="80"/>
        <w:ind w:left="460" w:hanging="460"/>
        <w:rPr>
          <w:sz w:val="32"/>
          <w:szCs w:val="32"/>
        </w:rPr>
      </w:pPr>
      <w:r w:rsidRPr="00F36C89">
        <w:rPr>
          <w:sz w:val="28"/>
          <w:szCs w:val="28"/>
        </w:rPr>
        <w:t>22. Ministry of Electronics an</w:t>
      </w:r>
      <w:r w:rsidRPr="00F36C89">
        <w:rPr>
          <w:sz w:val="28"/>
          <w:szCs w:val="28"/>
        </w:rPr>
        <w:t>d Information Technology, Government of India. Information Technology (Intermediary Guidelines and Digital Media Ethics Code) Rules, 2021. New Delhi: Gazette of India; 2021.</w:t>
      </w:r>
    </w:p>
    <w:p w:rsidR="00715923" w:rsidRPr="00F36C89" w:rsidRDefault="007E7FEE">
      <w:pPr>
        <w:spacing w:after="80"/>
        <w:ind w:left="460" w:hanging="460"/>
        <w:rPr>
          <w:sz w:val="32"/>
          <w:szCs w:val="32"/>
        </w:rPr>
      </w:pPr>
      <w:r w:rsidRPr="00F36C89">
        <w:rPr>
          <w:sz w:val="28"/>
          <w:szCs w:val="28"/>
        </w:rPr>
        <w:t>23. UNESCO. Media and information literate citizens: think critically, click wisel</w:t>
      </w:r>
      <w:r w:rsidRPr="00F36C89">
        <w:rPr>
          <w:sz w:val="28"/>
          <w:szCs w:val="28"/>
        </w:rPr>
        <w:t>y! Media and information literacy curriculum for educators and learners. 2nd ed. Paris: UNESCO; 2021.</w:t>
      </w:r>
    </w:p>
    <w:p w:rsidR="00715923" w:rsidRPr="00F36C89" w:rsidRDefault="007E7FEE">
      <w:pPr>
        <w:spacing w:after="80"/>
        <w:ind w:left="460" w:hanging="460"/>
        <w:rPr>
          <w:sz w:val="32"/>
          <w:szCs w:val="32"/>
        </w:rPr>
      </w:pPr>
      <w:r w:rsidRPr="00F36C89">
        <w:rPr>
          <w:sz w:val="28"/>
          <w:szCs w:val="28"/>
        </w:rPr>
        <w:lastRenderedPageBreak/>
        <w:t>24. ASER Centre. Annual Status of Education Report 2023: Beyond Basics. New Delhi: ASER Centre; 2024.</w:t>
      </w:r>
    </w:p>
    <w:p w:rsidR="00715923" w:rsidRPr="00F36C89" w:rsidRDefault="007E7FEE">
      <w:pPr>
        <w:spacing w:after="80"/>
        <w:ind w:left="460" w:hanging="460"/>
        <w:rPr>
          <w:sz w:val="32"/>
          <w:szCs w:val="32"/>
        </w:rPr>
      </w:pPr>
      <w:r w:rsidRPr="00F36C89">
        <w:rPr>
          <w:sz w:val="28"/>
          <w:szCs w:val="28"/>
        </w:rPr>
        <w:t xml:space="preserve">25. Pariser E. The filter bubble: what the internet </w:t>
      </w:r>
      <w:r w:rsidRPr="00F36C89">
        <w:rPr>
          <w:sz w:val="28"/>
          <w:szCs w:val="28"/>
        </w:rPr>
        <w:t>is hiding from you. New York: Penguin Press; 2011.</w:t>
      </w:r>
    </w:p>
    <w:p w:rsidR="00715923" w:rsidRPr="00F36C89" w:rsidRDefault="007E7FEE">
      <w:pPr>
        <w:spacing w:after="80"/>
        <w:ind w:left="460" w:hanging="460"/>
        <w:rPr>
          <w:sz w:val="32"/>
          <w:szCs w:val="32"/>
        </w:rPr>
      </w:pPr>
      <w:r w:rsidRPr="00F36C89">
        <w:rPr>
          <w:sz w:val="28"/>
          <w:szCs w:val="28"/>
        </w:rPr>
        <w:t>26. Bakshy E, Messing S, Adamic LA. Exposure to ideologically diverse news and opinion on Facebook. Science. 2015;348(6239):1130-2. doi:10.1126/science.aaa1160</w:t>
      </w:r>
    </w:p>
    <w:p w:rsidR="00715923" w:rsidRPr="00F36C89" w:rsidRDefault="007E7FEE">
      <w:pPr>
        <w:spacing w:after="80"/>
        <w:ind w:left="460" w:hanging="460"/>
        <w:rPr>
          <w:sz w:val="32"/>
          <w:szCs w:val="32"/>
        </w:rPr>
      </w:pPr>
      <w:r w:rsidRPr="00F36C89">
        <w:rPr>
          <w:sz w:val="28"/>
          <w:szCs w:val="28"/>
        </w:rPr>
        <w:t>27. Flaxman S, Goel S, Rao JM. Filter bubbles</w:t>
      </w:r>
      <w:r w:rsidRPr="00F36C89">
        <w:rPr>
          <w:sz w:val="28"/>
          <w:szCs w:val="28"/>
        </w:rPr>
        <w:t>, echo chambers, and online news consumption. Public Opin Q. 2016;80(S1):298-320. doi:10.1093/poq/nfw006</w:t>
      </w:r>
    </w:p>
    <w:p w:rsidR="00715923" w:rsidRPr="00F36C89" w:rsidRDefault="007E7FEE">
      <w:pPr>
        <w:spacing w:after="80"/>
        <w:ind w:left="460" w:hanging="460"/>
        <w:rPr>
          <w:sz w:val="32"/>
          <w:szCs w:val="32"/>
        </w:rPr>
      </w:pPr>
      <w:r w:rsidRPr="00F36C89">
        <w:rPr>
          <w:sz w:val="28"/>
          <w:szCs w:val="28"/>
        </w:rPr>
        <w:t>28. Nyhan B, Settle J, Thorson E, Wojcieszak M, Barbera P, Chen AY, et al. Like-minded sources on Facebook are prevalent but not polarizing. Nature. 20</w:t>
      </w:r>
      <w:r w:rsidRPr="00F36C89">
        <w:rPr>
          <w:sz w:val="28"/>
          <w:szCs w:val="28"/>
        </w:rPr>
        <w:t>23;620(7972):137-44. doi:10.1038/s41586-023-06297-w</w:t>
      </w:r>
    </w:p>
    <w:p w:rsidR="00715923" w:rsidRPr="00F36C89" w:rsidRDefault="007E7FEE">
      <w:pPr>
        <w:spacing w:after="80"/>
        <w:ind w:left="460" w:hanging="460"/>
        <w:rPr>
          <w:sz w:val="32"/>
          <w:szCs w:val="32"/>
        </w:rPr>
      </w:pPr>
      <w:r w:rsidRPr="00F36C89">
        <w:rPr>
          <w:sz w:val="28"/>
          <w:szCs w:val="28"/>
        </w:rPr>
        <w:t>29. Bandy J, Diakopoulos N. More accounts, fewer links: how algorithmic curation impacts media exposure in Twitter timelines. Proc ACM Hum-Comput Interact. 2021;5(CSCW1):Article 78. doi:10.1145/3449152</w:t>
      </w:r>
    </w:p>
    <w:p w:rsidR="00715923" w:rsidRPr="00F36C89" w:rsidRDefault="007E7FEE">
      <w:pPr>
        <w:spacing w:after="80"/>
        <w:ind w:left="460" w:hanging="460"/>
        <w:rPr>
          <w:sz w:val="32"/>
          <w:szCs w:val="32"/>
        </w:rPr>
      </w:pPr>
      <w:r w:rsidRPr="00F36C89">
        <w:rPr>
          <w:sz w:val="28"/>
          <w:szCs w:val="28"/>
        </w:rPr>
        <w:t>30</w:t>
      </w:r>
      <w:r w:rsidRPr="00F36C89">
        <w:rPr>
          <w:sz w:val="28"/>
          <w:szCs w:val="28"/>
        </w:rPr>
        <w:t>. Bucher T. The algorithmic imaginary: exploring the ordinary affects of Facebook algorithms. Inf Commun Soc. 2017;20(1):30-44. doi:10.1080/1369118X.2016.1154086</w:t>
      </w:r>
    </w:p>
    <w:p w:rsidR="00715923" w:rsidRPr="00F36C89" w:rsidRDefault="007E7FEE">
      <w:pPr>
        <w:spacing w:after="80"/>
        <w:ind w:left="460" w:hanging="460"/>
        <w:rPr>
          <w:sz w:val="32"/>
          <w:szCs w:val="32"/>
        </w:rPr>
      </w:pPr>
      <w:r w:rsidRPr="00F36C89">
        <w:rPr>
          <w:sz w:val="28"/>
          <w:szCs w:val="28"/>
        </w:rPr>
        <w:t>31. Swart J. Experiencing algorithms: how young people understand, feel about, and engage with</w:t>
      </w:r>
      <w:r w:rsidRPr="00F36C89">
        <w:rPr>
          <w:sz w:val="28"/>
          <w:szCs w:val="28"/>
        </w:rPr>
        <w:t xml:space="preserve"> algorithmic news selection on social media. Soc Media Soc. 2021;7(2). doi:10.1177/20563051211008828</w:t>
      </w:r>
    </w:p>
    <w:p w:rsidR="00715923" w:rsidRPr="00F36C89" w:rsidRDefault="007E7FEE">
      <w:pPr>
        <w:spacing w:after="80"/>
        <w:ind w:left="460" w:hanging="460"/>
        <w:rPr>
          <w:sz w:val="32"/>
          <w:szCs w:val="32"/>
        </w:rPr>
      </w:pPr>
      <w:r w:rsidRPr="00F36C89">
        <w:rPr>
          <w:sz w:val="28"/>
          <w:szCs w:val="28"/>
        </w:rPr>
        <w:t>32. Powers E. My news feed is filtered? Awareness of news personalization among college students. Digit Journal. 2017;5(10):1315-35. doi:10.1080/21670811.2</w:t>
      </w:r>
      <w:r w:rsidRPr="00F36C89">
        <w:rPr>
          <w:sz w:val="28"/>
          <w:szCs w:val="28"/>
        </w:rPr>
        <w:t>017.1286943</w:t>
      </w:r>
    </w:p>
    <w:p w:rsidR="00715923" w:rsidRPr="00F36C89" w:rsidRDefault="007E7FEE">
      <w:pPr>
        <w:spacing w:after="80"/>
        <w:ind w:left="460" w:hanging="460"/>
        <w:rPr>
          <w:sz w:val="32"/>
          <w:szCs w:val="32"/>
        </w:rPr>
      </w:pPr>
      <w:r w:rsidRPr="00F36C89">
        <w:rPr>
          <w:sz w:val="28"/>
          <w:szCs w:val="28"/>
        </w:rPr>
        <w:t>33. Klawitter E, Hargittai E. "It's like learning a whole other language": the role of algorithmic skills in the curation of creative goods. Int J Commun. 2018;12:3490-510.</w:t>
      </w:r>
    </w:p>
    <w:p w:rsidR="00715923" w:rsidRPr="00F36C89" w:rsidRDefault="007E7FEE">
      <w:pPr>
        <w:spacing w:after="80"/>
        <w:ind w:left="460" w:hanging="460"/>
        <w:rPr>
          <w:sz w:val="32"/>
          <w:szCs w:val="32"/>
        </w:rPr>
      </w:pPr>
      <w:r w:rsidRPr="00F36C89">
        <w:rPr>
          <w:sz w:val="28"/>
          <w:szCs w:val="28"/>
        </w:rPr>
        <w:t>34. Hargittai E, Gruber J, Djukaric T, Fuchs J, Brombach L. Black box measures? How to study people's algorithm skills. Inf Commun Soc. 2020;23(5):764-75. doi:10.1080/1369118X.2020.1713846</w:t>
      </w:r>
    </w:p>
    <w:p w:rsidR="00715923" w:rsidRPr="00F36C89" w:rsidRDefault="007E7FEE">
      <w:pPr>
        <w:spacing w:after="80"/>
        <w:ind w:left="460" w:hanging="460"/>
        <w:rPr>
          <w:sz w:val="32"/>
          <w:szCs w:val="32"/>
        </w:rPr>
      </w:pPr>
      <w:r w:rsidRPr="00F36C89">
        <w:rPr>
          <w:sz w:val="28"/>
          <w:szCs w:val="28"/>
        </w:rPr>
        <w:t>35. Cotter K, Reisdorf BC. Algorithmic knowledge gaps: a new horizo</w:t>
      </w:r>
      <w:r w:rsidRPr="00F36C89">
        <w:rPr>
          <w:sz w:val="28"/>
          <w:szCs w:val="28"/>
        </w:rPr>
        <w:t>n of (digital) inequality. Int J Commun. 2020;14:745-65.</w:t>
      </w:r>
    </w:p>
    <w:p w:rsidR="00715923" w:rsidRPr="00F36C89" w:rsidRDefault="007E7FEE">
      <w:pPr>
        <w:spacing w:after="80"/>
        <w:ind w:left="460" w:hanging="460"/>
        <w:rPr>
          <w:sz w:val="32"/>
          <w:szCs w:val="32"/>
        </w:rPr>
      </w:pPr>
      <w:r w:rsidRPr="00F36C89">
        <w:rPr>
          <w:sz w:val="28"/>
          <w:szCs w:val="28"/>
        </w:rPr>
        <w:t>36. Dogruel L, Masur P, Joeckel S. Development and validation of an algorithm literacy scale for internet users. Commun Methods Meas. 2022;16(2):115-33. doi:10.1080/19312458.2021.1968361</w:t>
      </w:r>
    </w:p>
    <w:p w:rsidR="00715923" w:rsidRPr="00F36C89" w:rsidRDefault="007E7FEE">
      <w:pPr>
        <w:spacing w:after="80"/>
        <w:ind w:left="460" w:hanging="460"/>
        <w:rPr>
          <w:sz w:val="32"/>
          <w:szCs w:val="32"/>
        </w:rPr>
      </w:pPr>
      <w:r w:rsidRPr="00F36C89">
        <w:rPr>
          <w:sz w:val="28"/>
          <w:szCs w:val="28"/>
        </w:rPr>
        <w:t>37. Zarouali</w:t>
      </w:r>
      <w:r w:rsidRPr="00F36C89">
        <w:rPr>
          <w:sz w:val="28"/>
          <w:szCs w:val="28"/>
        </w:rPr>
        <w:t xml:space="preserve"> B, Boerman SC, de Vreese CH. Is this recommended by an algorithm? The development and validation of the algorithmic media content awareness scale (AMCA-scale). Telemat Inform. 2021;62:101607. doi:10.1016/j.tele.2021.101607</w:t>
      </w:r>
    </w:p>
    <w:p w:rsidR="00715923" w:rsidRPr="00F36C89" w:rsidRDefault="007E7FEE">
      <w:pPr>
        <w:spacing w:after="80"/>
        <w:ind w:left="460" w:hanging="460"/>
        <w:rPr>
          <w:sz w:val="32"/>
          <w:szCs w:val="32"/>
        </w:rPr>
      </w:pPr>
      <w:r w:rsidRPr="00F36C89">
        <w:rPr>
          <w:sz w:val="28"/>
          <w:szCs w:val="28"/>
        </w:rPr>
        <w:lastRenderedPageBreak/>
        <w:t>38. Oeldorf-Hirsch A, Neubaum G.</w:t>
      </w:r>
      <w:r w:rsidRPr="00F36C89">
        <w:rPr>
          <w:sz w:val="28"/>
          <w:szCs w:val="28"/>
        </w:rPr>
        <w:t xml:space="preserve"> What do we know about algorithmic literacy? The status quo and a research agenda for a growing field. New Media Soc. Epub 2023 Jun 28. doi:10.1177/14614448231182662</w:t>
      </w:r>
    </w:p>
    <w:p w:rsidR="00715923" w:rsidRPr="00F36C89" w:rsidRDefault="007E7FEE">
      <w:pPr>
        <w:spacing w:after="80"/>
        <w:ind w:left="460" w:hanging="460"/>
        <w:rPr>
          <w:sz w:val="32"/>
          <w:szCs w:val="32"/>
        </w:rPr>
      </w:pPr>
      <w:r w:rsidRPr="00F36C89">
        <w:rPr>
          <w:sz w:val="28"/>
          <w:szCs w:val="28"/>
        </w:rPr>
        <w:t>39. Gagrcin E, Naab TK, Grub MF. Algorithmic media use and algorithm literacy: an integrative literature review. New Media Soc. Epub 2024 Oct 26. doi:10.1177/14614448241291137</w:t>
      </w:r>
    </w:p>
    <w:p w:rsidR="00715923" w:rsidRPr="00F36C89" w:rsidRDefault="007E7FEE">
      <w:pPr>
        <w:spacing w:after="80"/>
        <w:ind w:left="460" w:hanging="460"/>
        <w:rPr>
          <w:sz w:val="32"/>
          <w:szCs w:val="32"/>
        </w:rPr>
      </w:pPr>
      <w:r w:rsidRPr="00F36C89">
        <w:rPr>
          <w:sz w:val="28"/>
          <w:szCs w:val="28"/>
        </w:rPr>
        <w:t>40. Metzger MJ, Flanagin AJ. Credibility and trust of information in online envi</w:t>
      </w:r>
      <w:r w:rsidRPr="00F36C89">
        <w:rPr>
          <w:sz w:val="28"/>
          <w:szCs w:val="28"/>
        </w:rPr>
        <w:t>ronments: the use of cognitive heuristics. J Pragmat. 2013;59:210-20. doi:10.1016/j.pragma.2013.07.012</w:t>
      </w:r>
    </w:p>
    <w:p w:rsidR="00715923" w:rsidRPr="00F36C89" w:rsidRDefault="007E7FEE">
      <w:pPr>
        <w:spacing w:after="80"/>
        <w:ind w:left="460" w:hanging="460"/>
        <w:rPr>
          <w:sz w:val="32"/>
          <w:szCs w:val="32"/>
        </w:rPr>
      </w:pPr>
      <w:r w:rsidRPr="00F36C89">
        <w:rPr>
          <w:sz w:val="28"/>
          <w:szCs w:val="28"/>
        </w:rPr>
        <w:t>41. Sundar SS. The MAIN model: a heuristic approach to understanding technology effects on credibility. In: Metzger MJ, Flanagin AJ, editors. Digital med</w:t>
      </w:r>
      <w:r w:rsidRPr="00F36C89">
        <w:rPr>
          <w:sz w:val="28"/>
          <w:szCs w:val="28"/>
        </w:rPr>
        <w:t>ia, youth, and credibility. Cambridge (MA): MIT Press; 2008. p. 73-100.</w:t>
      </w:r>
    </w:p>
    <w:p w:rsidR="00715923" w:rsidRPr="00F36C89" w:rsidRDefault="007E7FEE">
      <w:pPr>
        <w:spacing w:after="80"/>
        <w:ind w:left="460" w:hanging="460"/>
        <w:rPr>
          <w:sz w:val="32"/>
          <w:szCs w:val="32"/>
        </w:rPr>
      </w:pPr>
      <w:r w:rsidRPr="00F36C89">
        <w:rPr>
          <w:sz w:val="28"/>
          <w:szCs w:val="28"/>
        </w:rPr>
        <w:t>42. Nygren T, Guath M. Swedish teenagers' difficulties and abilities to determine digital news credibility. Nordicom Rev. 2019;40(1):23-42. doi:10.2478/nor-2019-0002</w:t>
      </w:r>
    </w:p>
    <w:p w:rsidR="00715923" w:rsidRPr="00F36C89" w:rsidRDefault="007E7FEE">
      <w:pPr>
        <w:spacing w:after="80"/>
        <w:ind w:left="460" w:hanging="460"/>
        <w:rPr>
          <w:sz w:val="32"/>
          <w:szCs w:val="32"/>
        </w:rPr>
      </w:pPr>
      <w:r w:rsidRPr="00F36C89">
        <w:rPr>
          <w:sz w:val="28"/>
          <w:szCs w:val="28"/>
        </w:rPr>
        <w:t>43. McGrew S. Lear</w:t>
      </w:r>
      <w:r w:rsidRPr="00F36C89">
        <w:rPr>
          <w:sz w:val="28"/>
          <w:szCs w:val="28"/>
        </w:rPr>
        <w:t>ning to evaluate: an intervention in civic online reasoning. Comput Educ. 2020;145:103711. doi:10.1016/j.compedu.2019.103711</w:t>
      </w:r>
    </w:p>
    <w:p w:rsidR="00715923" w:rsidRPr="00F36C89" w:rsidRDefault="007E7FEE">
      <w:pPr>
        <w:spacing w:after="80"/>
        <w:ind w:left="460" w:hanging="460"/>
        <w:rPr>
          <w:sz w:val="32"/>
          <w:szCs w:val="32"/>
        </w:rPr>
      </w:pPr>
      <w:r w:rsidRPr="00F36C89">
        <w:rPr>
          <w:sz w:val="28"/>
          <w:szCs w:val="28"/>
        </w:rPr>
        <w:t>44. Pennycook G, Rand DG. Lazy, not biased: susceptibility to partisan fake news is better explained by lack of reasoning than by m</w:t>
      </w:r>
      <w:r w:rsidRPr="00F36C89">
        <w:rPr>
          <w:sz w:val="28"/>
          <w:szCs w:val="28"/>
        </w:rPr>
        <w:t>otivated reasoning. Cognition. 2019;188:39-50. doi:10.1016/j.cognition.2018.06.011</w:t>
      </w:r>
    </w:p>
    <w:p w:rsidR="00715923" w:rsidRPr="00F36C89" w:rsidRDefault="007E7FEE">
      <w:pPr>
        <w:spacing w:after="80"/>
        <w:ind w:left="460" w:hanging="460"/>
        <w:rPr>
          <w:sz w:val="32"/>
          <w:szCs w:val="32"/>
        </w:rPr>
      </w:pPr>
      <w:r w:rsidRPr="00F36C89">
        <w:rPr>
          <w:sz w:val="28"/>
          <w:szCs w:val="28"/>
        </w:rPr>
        <w:t>45. Pennycook G, Rand DG. The psychology of fake news. Trends Cogn Sci. 2021;25(5):388-402. doi:10.1016/j.tics.2021.02.007</w:t>
      </w:r>
    </w:p>
    <w:p w:rsidR="00715923" w:rsidRPr="00F36C89" w:rsidRDefault="007E7FEE">
      <w:pPr>
        <w:spacing w:after="80"/>
        <w:ind w:left="460" w:hanging="460"/>
        <w:rPr>
          <w:sz w:val="32"/>
          <w:szCs w:val="32"/>
        </w:rPr>
      </w:pPr>
      <w:r w:rsidRPr="00F36C89">
        <w:rPr>
          <w:sz w:val="28"/>
          <w:szCs w:val="28"/>
        </w:rPr>
        <w:t>46. Ecker UKH, Lewandowsky S, Cook J, Schmid P, Fa</w:t>
      </w:r>
      <w:r w:rsidRPr="00F36C89">
        <w:rPr>
          <w:sz w:val="28"/>
          <w:szCs w:val="28"/>
        </w:rPr>
        <w:t>zio LK, Brashier N, et al. The psychological drivers of misinformation belief and its resistance to correction. Nat Rev Psychol. 2022;1:13-29. doi:10.1038/s44159-021-00006-y</w:t>
      </w:r>
    </w:p>
    <w:p w:rsidR="00715923" w:rsidRPr="00F36C89" w:rsidRDefault="007E7FEE">
      <w:pPr>
        <w:spacing w:after="80"/>
        <w:ind w:left="460" w:hanging="460"/>
        <w:rPr>
          <w:sz w:val="32"/>
          <w:szCs w:val="32"/>
        </w:rPr>
      </w:pPr>
      <w:r w:rsidRPr="00F36C89">
        <w:rPr>
          <w:sz w:val="28"/>
          <w:szCs w:val="28"/>
        </w:rPr>
        <w:t>47. Lewandowsky S, Ecker UKH, Seifert CM, Schwarz N, Cook J. Misinformation and it</w:t>
      </w:r>
      <w:r w:rsidRPr="00F36C89">
        <w:rPr>
          <w:sz w:val="28"/>
          <w:szCs w:val="28"/>
        </w:rPr>
        <w:t>s correction: continued influence and successful debiasing. Psychol Sci Public Interest. 2012;13(3):106-31. doi:10.1177/1529100612451018</w:t>
      </w:r>
    </w:p>
    <w:p w:rsidR="00715923" w:rsidRPr="00F36C89" w:rsidRDefault="007E7FEE">
      <w:pPr>
        <w:spacing w:after="80"/>
        <w:ind w:left="460" w:hanging="460"/>
        <w:rPr>
          <w:sz w:val="32"/>
          <w:szCs w:val="32"/>
        </w:rPr>
      </w:pPr>
      <w:r w:rsidRPr="00F36C89">
        <w:rPr>
          <w:sz w:val="28"/>
          <w:szCs w:val="28"/>
        </w:rPr>
        <w:t xml:space="preserve">48. Maertens R, Gotz FM, Golino HF, Roozenbeek J, Schneider CR, Kyrychenko Y, et al. The Misinformation Susceptibility </w:t>
      </w:r>
      <w:r w:rsidRPr="00F36C89">
        <w:rPr>
          <w:sz w:val="28"/>
          <w:szCs w:val="28"/>
        </w:rPr>
        <w:t>Test (MIST): a psychometrically validated measure of news veracity discernment. Behav Res Methods. 2024;56(3):1863-99. doi:10.3758/s13428-023-02124-2</w:t>
      </w:r>
    </w:p>
    <w:p w:rsidR="00715923" w:rsidRPr="00F36C89" w:rsidRDefault="007E7FEE">
      <w:pPr>
        <w:spacing w:after="80"/>
        <w:ind w:left="460" w:hanging="460"/>
        <w:rPr>
          <w:sz w:val="32"/>
          <w:szCs w:val="32"/>
        </w:rPr>
      </w:pPr>
      <w:r w:rsidRPr="00F36C89">
        <w:rPr>
          <w:sz w:val="28"/>
          <w:szCs w:val="28"/>
        </w:rPr>
        <w:t xml:space="preserve">49. Lyons BA, Montgomery JM, Guess AM, Nyhan B, Reifler J. Overconfidence in news judgments is associated </w:t>
      </w:r>
      <w:r w:rsidRPr="00F36C89">
        <w:rPr>
          <w:sz w:val="28"/>
          <w:szCs w:val="28"/>
        </w:rPr>
        <w:t>with false news susceptibility. Proc Natl Acad Sci U S A. 2021;118(23):e2019527118. doi:10.1073/pnas.2019527118</w:t>
      </w:r>
    </w:p>
    <w:p w:rsidR="00715923" w:rsidRPr="00F36C89" w:rsidRDefault="007E7FEE">
      <w:pPr>
        <w:spacing w:after="80"/>
        <w:ind w:left="460" w:hanging="460"/>
        <w:rPr>
          <w:sz w:val="32"/>
          <w:szCs w:val="32"/>
        </w:rPr>
      </w:pPr>
      <w:r w:rsidRPr="00F36C89">
        <w:rPr>
          <w:sz w:val="28"/>
          <w:szCs w:val="28"/>
        </w:rPr>
        <w:lastRenderedPageBreak/>
        <w:t>50. Jang SM, Kim JK. Third person effects of fake news: fake news regulation and media literacy interventions. Comput Human Behav. 2018;80:295-3</w:t>
      </w:r>
      <w:r w:rsidRPr="00F36C89">
        <w:rPr>
          <w:sz w:val="28"/>
          <w:szCs w:val="28"/>
        </w:rPr>
        <w:t>02. doi:10.1016/j.chb.2017.11.034</w:t>
      </w:r>
    </w:p>
    <w:p w:rsidR="00715923" w:rsidRPr="00F36C89" w:rsidRDefault="007E7FEE">
      <w:pPr>
        <w:spacing w:after="80"/>
        <w:ind w:left="460" w:hanging="460"/>
        <w:rPr>
          <w:sz w:val="32"/>
          <w:szCs w:val="32"/>
        </w:rPr>
      </w:pPr>
      <w:r w:rsidRPr="00F36C89">
        <w:rPr>
          <w:sz w:val="28"/>
          <w:szCs w:val="28"/>
        </w:rPr>
        <w:t>51. Roozenbeek J, van der Linden S. Fake news game confers psychological resistance against online misinformation. Palgrave Commun. 2019;5:65. doi:10.1057/s41599-019-0279-9</w:t>
      </w:r>
    </w:p>
    <w:p w:rsidR="00715923" w:rsidRPr="00F36C89" w:rsidRDefault="007E7FEE">
      <w:pPr>
        <w:spacing w:after="80"/>
        <w:ind w:left="460" w:hanging="460"/>
        <w:rPr>
          <w:sz w:val="32"/>
          <w:szCs w:val="32"/>
        </w:rPr>
      </w:pPr>
      <w:r w:rsidRPr="00F36C89">
        <w:rPr>
          <w:sz w:val="28"/>
          <w:szCs w:val="28"/>
        </w:rPr>
        <w:t>52. Basol M, Roozenbeek J, van der Linden S. Good</w:t>
      </w:r>
      <w:r w:rsidRPr="00F36C89">
        <w:rPr>
          <w:sz w:val="28"/>
          <w:szCs w:val="28"/>
        </w:rPr>
        <w:t xml:space="preserve"> news about Bad News: gamified inoculation boosts confidence and cognitive immunity against fake news. J Cogn. 2020;3(1):2. doi:10.5334/joc.91</w:t>
      </w:r>
    </w:p>
    <w:p w:rsidR="00715923" w:rsidRPr="00F36C89" w:rsidRDefault="007E7FEE">
      <w:pPr>
        <w:spacing w:after="80"/>
        <w:ind w:left="460" w:hanging="460"/>
        <w:rPr>
          <w:sz w:val="32"/>
          <w:szCs w:val="32"/>
        </w:rPr>
      </w:pPr>
      <w:r w:rsidRPr="00F36C89">
        <w:rPr>
          <w:sz w:val="28"/>
          <w:szCs w:val="28"/>
        </w:rPr>
        <w:t xml:space="preserve">53. van der Linden S. Misinformation: susceptibility, spread, and interventions to immunize the public. Nat Med. </w:t>
      </w:r>
      <w:r w:rsidRPr="00F36C89">
        <w:rPr>
          <w:sz w:val="28"/>
          <w:szCs w:val="28"/>
        </w:rPr>
        <w:t>2022;28(3):460-7. doi:10.1038/s41591-022-01713-6</w:t>
      </w:r>
    </w:p>
    <w:p w:rsidR="00715923" w:rsidRPr="00F36C89" w:rsidRDefault="007E7FEE">
      <w:pPr>
        <w:spacing w:after="80"/>
        <w:ind w:left="460" w:hanging="460"/>
        <w:rPr>
          <w:sz w:val="32"/>
          <w:szCs w:val="32"/>
        </w:rPr>
      </w:pPr>
      <w:r w:rsidRPr="00F36C89">
        <w:rPr>
          <w:sz w:val="28"/>
          <w:szCs w:val="28"/>
        </w:rPr>
        <w:t>54. Walter N, Cohen J, Holbert RL, Morag Y. Fact-checking: a meta-analysis of what works and for whom. Polit Commun. 2020;37(3):350-75. doi:10.1080/10584609.2019.1668894</w:t>
      </w:r>
    </w:p>
    <w:p w:rsidR="00715923" w:rsidRPr="00F36C89" w:rsidRDefault="007E7FEE">
      <w:pPr>
        <w:spacing w:after="80"/>
        <w:ind w:left="460" w:hanging="460"/>
        <w:rPr>
          <w:sz w:val="32"/>
          <w:szCs w:val="32"/>
        </w:rPr>
      </w:pPr>
      <w:r w:rsidRPr="00F36C89">
        <w:rPr>
          <w:sz w:val="28"/>
          <w:szCs w:val="28"/>
        </w:rPr>
        <w:t>55. Bulger M, Davison P. The promises</w:t>
      </w:r>
      <w:r w:rsidRPr="00F36C89">
        <w:rPr>
          <w:sz w:val="28"/>
          <w:szCs w:val="28"/>
        </w:rPr>
        <w:t>, challenges, and futures of media literacy. J Media Lit Educ. 2018;10(1):1-21. doi:10.23860/JMLE-2018-10-1-1</w:t>
      </w:r>
    </w:p>
    <w:p w:rsidR="00715923" w:rsidRPr="00F36C89" w:rsidRDefault="007E7FEE">
      <w:pPr>
        <w:spacing w:after="80"/>
        <w:ind w:left="460" w:hanging="460"/>
        <w:rPr>
          <w:sz w:val="32"/>
          <w:szCs w:val="32"/>
        </w:rPr>
      </w:pPr>
      <w:r w:rsidRPr="00F36C89">
        <w:rPr>
          <w:sz w:val="28"/>
          <w:szCs w:val="28"/>
        </w:rPr>
        <w:t>56. Jones-Jang SM, Mortensen T, Liu J. Does media literacy help identification of fake news? Information literacy helps, but other literacies don'</w:t>
      </w:r>
      <w:r w:rsidRPr="00F36C89">
        <w:rPr>
          <w:sz w:val="28"/>
          <w:szCs w:val="28"/>
        </w:rPr>
        <w:t>t. Am Behav Sci. 2021;65(2):371-88. doi:10.1177/0002764219869406</w:t>
      </w:r>
    </w:p>
    <w:p w:rsidR="00715923" w:rsidRPr="00F36C89" w:rsidRDefault="007E7FEE">
      <w:pPr>
        <w:spacing w:after="80"/>
        <w:ind w:left="460" w:hanging="460"/>
        <w:rPr>
          <w:sz w:val="32"/>
          <w:szCs w:val="32"/>
        </w:rPr>
      </w:pPr>
      <w:r w:rsidRPr="00F36C89">
        <w:rPr>
          <w:sz w:val="28"/>
          <w:szCs w:val="28"/>
        </w:rPr>
        <w:t>57. Vraga EK, Tully M. News literacy, social media behaviors, and skepticism toward information on social media. Inf Commun Soc. 2021;24(2):150-66. doi:10.1080/1369118X.2019.1637445</w:t>
      </w:r>
    </w:p>
    <w:p w:rsidR="00715923" w:rsidRPr="00F36C89" w:rsidRDefault="007E7FEE">
      <w:pPr>
        <w:spacing w:after="80"/>
        <w:ind w:left="460" w:hanging="460"/>
        <w:rPr>
          <w:sz w:val="32"/>
          <w:szCs w:val="32"/>
        </w:rPr>
      </w:pPr>
      <w:r w:rsidRPr="00F36C89">
        <w:rPr>
          <w:sz w:val="28"/>
          <w:szCs w:val="28"/>
        </w:rPr>
        <w:t>58. Tully</w:t>
      </w:r>
      <w:r w:rsidRPr="00F36C89">
        <w:rPr>
          <w:sz w:val="28"/>
          <w:szCs w:val="28"/>
        </w:rPr>
        <w:t xml:space="preserve"> M, Vraga EK, Bode L. Designing and testing news literacy messages for social media. Mass Commun Soc. 2020;23(1):22-46. doi:10.1080/15205436.2019.1604970</w:t>
      </w:r>
    </w:p>
    <w:p w:rsidR="00715923" w:rsidRPr="00F36C89" w:rsidRDefault="007E7FEE">
      <w:pPr>
        <w:spacing w:after="80"/>
        <w:ind w:left="460" w:hanging="460"/>
        <w:rPr>
          <w:sz w:val="32"/>
          <w:szCs w:val="32"/>
        </w:rPr>
      </w:pPr>
      <w:r w:rsidRPr="00F36C89">
        <w:rPr>
          <w:sz w:val="28"/>
          <w:szCs w:val="28"/>
        </w:rPr>
        <w:t>59. Kahne J, Bowyer B. Educating for democracy in a partisan age: confronting the challenges of motiva</w:t>
      </w:r>
      <w:r w:rsidRPr="00F36C89">
        <w:rPr>
          <w:sz w:val="28"/>
          <w:szCs w:val="28"/>
        </w:rPr>
        <w:t>ted reasoning and misinformation. Am Educ Res J. 2017;54(1):3-34. doi:10.3102/0002831216679817</w:t>
      </w:r>
    </w:p>
    <w:p w:rsidR="00715923" w:rsidRPr="00F36C89" w:rsidRDefault="007E7FEE">
      <w:pPr>
        <w:spacing w:after="80"/>
        <w:ind w:left="460" w:hanging="460"/>
        <w:rPr>
          <w:sz w:val="32"/>
          <w:szCs w:val="32"/>
        </w:rPr>
      </w:pPr>
      <w:r w:rsidRPr="00F36C89">
        <w:rPr>
          <w:sz w:val="28"/>
          <w:szCs w:val="28"/>
        </w:rPr>
        <w:t>60. boyd d. Did media literacy backfire? J Appl Youth Stud. 2017;1(4):83-9.</w:t>
      </w:r>
    </w:p>
    <w:p w:rsidR="00715923" w:rsidRPr="00F36C89" w:rsidRDefault="007E7FEE">
      <w:pPr>
        <w:spacing w:after="80"/>
        <w:ind w:left="460" w:hanging="460"/>
        <w:rPr>
          <w:sz w:val="32"/>
          <w:szCs w:val="32"/>
        </w:rPr>
      </w:pPr>
      <w:r w:rsidRPr="00F36C89">
        <w:rPr>
          <w:sz w:val="28"/>
          <w:szCs w:val="28"/>
        </w:rPr>
        <w:t>61. Aneez Z, Neyazi TA, Kalogeropoulos A, Nielsen RK. India digital news report. Oxfo</w:t>
      </w:r>
      <w:r w:rsidRPr="00F36C89">
        <w:rPr>
          <w:sz w:val="28"/>
          <w:szCs w:val="28"/>
        </w:rPr>
        <w:t>rd: Reuters Institute for the Study of Journalism; 2019. doi:10.60625/risj-qqd1-y198</w:t>
      </w:r>
    </w:p>
    <w:p w:rsidR="00715923" w:rsidRPr="00F36C89" w:rsidRDefault="007E7FEE">
      <w:pPr>
        <w:spacing w:after="80"/>
        <w:ind w:left="460" w:hanging="460"/>
        <w:rPr>
          <w:sz w:val="32"/>
          <w:szCs w:val="32"/>
        </w:rPr>
      </w:pPr>
      <w:r w:rsidRPr="00F36C89">
        <w:rPr>
          <w:sz w:val="28"/>
          <w:szCs w:val="28"/>
        </w:rPr>
        <w:t>62. Neyazi TA. Digital propaganda, political bots and polarized politics in India. Asian J Commun. 2018;28(1):81-94. doi:10.1080/01292986.2017.1394902</w:t>
      </w:r>
    </w:p>
    <w:p w:rsidR="00715923" w:rsidRPr="00F36C89" w:rsidRDefault="007E7FEE">
      <w:pPr>
        <w:spacing w:after="80"/>
        <w:ind w:left="460" w:hanging="460"/>
        <w:rPr>
          <w:sz w:val="32"/>
          <w:szCs w:val="32"/>
        </w:rPr>
      </w:pPr>
      <w:r w:rsidRPr="00F36C89">
        <w:rPr>
          <w:sz w:val="28"/>
          <w:szCs w:val="28"/>
        </w:rPr>
        <w:t>63. UNESCO New Delhi</w:t>
      </w:r>
      <w:r w:rsidRPr="00F36C89">
        <w:rPr>
          <w:sz w:val="28"/>
          <w:szCs w:val="28"/>
        </w:rPr>
        <w:t>. State of the education report for India 2022: artificial intelligence in education - here, there and everywhere. New Delhi: UNESCO; 2022.</w:t>
      </w:r>
    </w:p>
    <w:p w:rsidR="00715923" w:rsidRPr="00F36C89" w:rsidRDefault="007E7FEE">
      <w:pPr>
        <w:spacing w:after="80"/>
        <w:ind w:left="460" w:hanging="460"/>
        <w:rPr>
          <w:sz w:val="32"/>
          <w:szCs w:val="32"/>
        </w:rPr>
      </w:pPr>
      <w:r w:rsidRPr="00F36C89">
        <w:rPr>
          <w:sz w:val="28"/>
          <w:szCs w:val="28"/>
        </w:rPr>
        <w:lastRenderedPageBreak/>
        <w:t>64. UNESCO. Guidelines for the governance of digital platforms: safeguarding freedom of expression and access to inf</w:t>
      </w:r>
      <w:r w:rsidRPr="00F36C89">
        <w:rPr>
          <w:sz w:val="28"/>
          <w:szCs w:val="28"/>
        </w:rPr>
        <w:t>ormation through a multistakeholder approach. Paris: UNESCO; 2023.</w:t>
      </w:r>
    </w:p>
    <w:p w:rsidR="00715923" w:rsidRPr="00F36C89" w:rsidRDefault="007E7FEE">
      <w:pPr>
        <w:spacing w:after="80"/>
        <w:ind w:left="460" w:hanging="460"/>
        <w:rPr>
          <w:sz w:val="32"/>
          <w:szCs w:val="32"/>
        </w:rPr>
      </w:pPr>
      <w:r w:rsidRPr="00F36C89">
        <w:rPr>
          <w:sz w:val="28"/>
          <w:szCs w:val="28"/>
        </w:rPr>
        <w:t>65. UNICEF. Policy guidance on AI for children, version 2.0. New York: UNICEF Office of Global Insight and Policy; 2021.</w:t>
      </w:r>
    </w:p>
    <w:p w:rsidR="00715923" w:rsidRPr="00F36C89" w:rsidRDefault="007E7FEE">
      <w:pPr>
        <w:spacing w:after="80"/>
        <w:ind w:left="460" w:hanging="460"/>
        <w:rPr>
          <w:sz w:val="32"/>
          <w:szCs w:val="32"/>
        </w:rPr>
      </w:pPr>
      <w:r w:rsidRPr="00F36C89">
        <w:rPr>
          <w:sz w:val="28"/>
          <w:szCs w:val="28"/>
        </w:rPr>
        <w:t>66. Livingstone S, Stoilova M, Nandagiri R. Children's data and priv</w:t>
      </w:r>
      <w:r w:rsidRPr="00F36C89">
        <w:rPr>
          <w:sz w:val="28"/>
          <w:szCs w:val="28"/>
        </w:rPr>
        <w:t>acy online: growing up in a digital age - an evidence review. London: London School of Economics and Political Science; 2019.</w:t>
      </w:r>
    </w:p>
    <w:p w:rsidR="00715923" w:rsidRPr="00F36C89" w:rsidRDefault="007E7FEE">
      <w:pPr>
        <w:spacing w:after="80"/>
        <w:ind w:left="460" w:hanging="460"/>
        <w:rPr>
          <w:sz w:val="32"/>
          <w:szCs w:val="32"/>
        </w:rPr>
      </w:pPr>
      <w:r w:rsidRPr="00F36C89">
        <w:rPr>
          <w:sz w:val="28"/>
          <w:szCs w:val="28"/>
        </w:rPr>
        <w:t>67. OECD. 21st-century readers: developing literacy skills in a digital world. Paris: OECD Publishing; 2021. doi:10.1787/a83d84cb-en</w:t>
      </w:r>
    </w:p>
    <w:p w:rsidR="00715923" w:rsidRPr="00F36C89" w:rsidRDefault="007E7FEE">
      <w:pPr>
        <w:spacing w:after="80"/>
        <w:ind w:left="460" w:hanging="460"/>
        <w:rPr>
          <w:sz w:val="32"/>
          <w:szCs w:val="32"/>
        </w:rPr>
      </w:pPr>
      <w:r w:rsidRPr="00F36C89">
        <w:rPr>
          <w:sz w:val="28"/>
          <w:szCs w:val="28"/>
        </w:rPr>
        <w:t>68. von Elm E, Altman DG, Egger M, Pocock SJ, Gotzsche PC, Vandenbroucke JP. The Strengthening the Reporting of Observation</w:t>
      </w:r>
      <w:r w:rsidRPr="00F36C89">
        <w:rPr>
          <w:sz w:val="28"/>
          <w:szCs w:val="28"/>
        </w:rPr>
        <w:t>al Studies in Epidemiology (STROBE) statement: guidelines for reporting observational studies. Lancet. 2007;370(9596):1453-7. doi:10.1016/S0140-6736(07)61602-X</w:t>
      </w:r>
    </w:p>
    <w:p w:rsidR="00715923" w:rsidRPr="00F36C89" w:rsidRDefault="007E7FEE">
      <w:pPr>
        <w:spacing w:after="80"/>
        <w:ind w:left="460" w:hanging="460"/>
        <w:rPr>
          <w:sz w:val="32"/>
          <w:szCs w:val="32"/>
        </w:rPr>
      </w:pPr>
      <w:r w:rsidRPr="00F36C89">
        <w:rPr>
          <w:sz w:val="28"/>
          <w:szCs w:val="28"/>
        </w:rPr>
        <w:t>69. Sharma A, Minh Duc NT, Luu Lam Thang T, Nam NH, Ng SJ, Abbas KS, et al. A consensus-based Ch</w:t>
      </w:r>
      <w:r w:rsidRPr="00F36C89">
        <w:rPr>
          <w:sz w:val="28"/>
          <w:szCs w:val="28"/>
        </w:rPr>
        <w:t>ecklist for Reporting of Survey Studies (CROSS). J Gen Intern Med. 2021;36(10):3179-87. doi:10.1007/s11606-021-06737-1</w:t>
      </w:r>
    </w:p>
    <w:p w:rsidR="00715923" w:rsidRPr="00F36C89" w:rsidRDefault="007E7FEE">
      <w:pPr>
        <w:spacing w:after="80"/>
        <w:ind w:left="460" w:hanging="460"/>
        <w:rPr>
          <w:sz w:val="32"/>
          <w:szCs w:val="32"/>
        </w:rPr>
      </w:pPr>
      <w:r w:rsidRPr="00F36C89">
        <w:rPr>
          <w:sz w:val="28"/>
          <w:szCs w:val="28"/>
        </w:rPr>
        <w:t>70. Faul F, Erdfelder E, Buchner A, Lang AG. Statistical power analyses using G*Power 3.1: tests for correlation and regression analyses.</w:t>
      </w:r>
      <w:r w:rsidRPr="00F36C89">
        <w:rPr>
          <w:sz w:val="28"/>
          <w:szCs w:val="28"/>
        </w:rPr>
        <w:t xml:space="preserve"> Behav Res Methods. 2009;41(4):1149-60. doi:10.3758/BRM.41.4.1149</w:t>
      </w:r>
    </w:p>
    <w:p w:rsidR="00715923" w:rsidRPr="00F36C89" w:rsidRDefault="007E7FEE">
      <w:pPr>
        <w:spacing w:after="80"/>
        <w:ind w:left="460" w:hanging="460"/>
        <w:rPr>
          <w:sz w:val="32"/>
          <w:szCs w:val="32"/>
        </w:rPr>
      </w:pPr>
      <w:r w:rsidRPr="00F36C89">
        <w:rPr>
          <w:sz w:val="28"/>
          <w:szCs w:val="28"/>
        </w:rPr>
        <w:t>71. Messick S. Validity of psychological assessment: validation of inferences from persons' responses and performances as scientific inquiry into score meaning. Am Psychol. 1995;50(9):741-9.</w:t>
      </w:r>
      <w:r w:rsidRPr="00F36C89">
        <w:rPr>
          <w:sz w:val="28"/>
          <w:szCs w:val="28"/>
        </w:rPr>
        <w:t xml:space="preserve"> doi:10.1037/0003-066X.50.9.741</w:t>
      </w:r>
    </w:p>
    <w:p w:rsidR="00715923" w:rsidRPr="00F36C89" w:rsidRDefault="007E7FEE">
      <w:pPr>
        <w:spacing w:after="80"/>
        <w:ind w:left="460" w:hanging="460"/>
        <w:rPr>
          <w:sz w:val="32"/>
          <w:szCs w:val="32"/>
        </w:rPr>
      </w:pPr>
      <w:r w:rsidRPr="00F36C89">
        <w:rPr>
          <w:sz w:val="28"/>
          <w:szCs w:val="28"/>
        </w:rPr>
        <w:t>72. American Educational Research Association, American Psychological Association, National Council on Measurement in Education. Standards for educational and psychological testing. Washington (DC): AERA; 2014.</w:t>
      </w:r>
    </w:p>
    <w:p w:rsidR="00715923" w:rsidRPr="00F36C89" w:rsidRDefault="007E7FEE">
      <w:pPr>
        <w:spacing w:after="80"/>
        <w:ind w:left="460" w:hanging="460"/>
        <w:rPr>
          <w:sz w:val="32"/>
          <w:szCs w:val="32"/>
        </w:rPr>
      </w:pPr>
      <w:r w:rsidRPr="00F36C89">
        <w:rPr>
          <w:sz w:val="28"/>
          <w:szCs w:val="28"/>
        </w:rPr>
        <w:t>73. Beaton DE</w:t>
      </w:r>
      <w:r w:rsidRPr="00F36C89">
        <w:rPr>
          <w:sz w:val="28"/>
          <w:szCs w:val="28"/>
        </w:rPr>
        <w:t>, Bombardier C, Guillemin F, Ferraz MB. Guidelines for the process of cross-cultural adaptation of self-report measures. Spine. 2000;25(24):3186-91. doi:10.1097/00007632-200012150-00014</w:t>
      </w:r>
    </w:p>
    <w:p w:rsidR="00715923" w:rsidRPr="00F36C89" w:rsidRDefault="007E7FEE">
      <w:pPr>
        <w:spacing w:after="80"/>
        <w:ind w:left="460" w:hanging="460"/>
        <w:rPr>
          <w:sz w:val="32"/>
          <w:szCs w:val="32"/>
        </w:rPr>
      </w:pPr>
      <w:r w:rsidRPr="00F36C89">
        <w:rPr>
          <w:sz w:val="28"/>
          <w:szCs w:val="28"/>
        </w:rPr>
        <w:t>74. Willis GB. Cognitive interviewing: a tool for improving questionna</w:t>
      </w:r>
      <w:r w:rsidRPr="00F36C89">
        <w:rPr>
          <w:sz w:val="28"/>
          <w:szCs w:val="28"/>
        </w:rPr>
        <w:t>ire design. Thousand Oaks (CA): Sage; 2005.</w:t>
      </w:r>
    </w:p>
    <w:p w:rsidR="00715923" w:rsidRPr="00F36C89" w:rsidRDefault="007E7FEE">
      <w:pPr>
        <w:spacing w:after="80"/>
        <w:ind w:left="460" w:hanging="460"/>
        <w:rPr>
          <w:sz w:val="32"/>
          <w:szCs w:val="32"/>
        </w:rPr>
      </w:pPr>
      <w:r w:rsidRPr="00F36C89">
        <w:rPr>
          <w:sz w:val="28"/>
          <w:szCs w:val="28"/>
        </w:rPr>
        <w:t>75. Polit DF, Beck CT. The content validity index: are you sure you know what's being reported? Critique and recommendations. Res Nurs Health. 2006;29(5):489-97. doi:10.1002/nur.20147</w:t>
      </w:r>
    </w:p>
    <w:p w:rsidR="00715923" w:rsidRPr="00F36C89" w:rsidRDefault="007E7FEE">
      <w:pPr>
        <w:spacing w:after="80"/>
        <w:ind w:left="460" w:hanging="460"/>
        <w:rPr>
          <w:sz w:val="32"/>
          <w:szCs w:val="32"/>
        </w:rPr>
      </w:pPr>
      <w:r w:rsidRPr="00F36C89">
        <w:rPr>
          <w:sz w:val="28"/>
          <w:szCs w:val="28"/>
        </w:rPr>
        <w:t>76. McDonald RP. Test theory</w:t>
      </w:r>
      <w:r w:rsidRPr="00F36C89">
        <w:rPr>
          <w:sz w:val="28"/>
          <w:szCs w:val="28"/>
        </w:rPr>
        <w:t>: a unified treatment. Mahwah (NJ): Lawrence Erlbaum; 1999.</w:t>
      </w:r>
    </w:p>
    <w:p w:rsidR="00715923" w:rsidRPr="00F36C89" w:rsidRDefault="007E7FEE">
      <w:pPr>
        <w:spacing w:after="80"/>
        <w:ind w:left="460" w:hanging="460"/>
        <w:rPr>
          <w:sz w:val="32"/>
          <w:szCs w:val="32"/>
        </w:rPr>
      </w:pPr>
      <w:r w:rsidRPr="00F36C89">
        <w:rPr>
          <w:sz w:val="28"/>
          <w:szCs w:val="28"/>
        </w:rPr>
        <w:t xml:space="preserve">77. Flora DB. Your coefficient alpha is probably wrong, but which coefficient omega is right? A tutorial on using R to obtain better reliability estimates. </w:t>
      </w:r>
      <w:r w:rsidRPr="00F36C89">
        <w:rPr>
          <w:sz w:val="28"/>
          <w:szCs w:val="28"/>
        </w:rPr>
        <w:lastRenderedPageBreak/>
        <w:t>Adv Methods Pract Psychol Sci. 2020;3(4)</w:t>
      </w:r>
      <w:r w:rsidRPr="00F36C89">
        <w:rPr>
          <w:sz w:val="28"/>
          <w:szCs w:val="28"/>
        </w:rPr>
        <w:t>:484-501. doi:10.1177/2515245920951747</w:t>
      </w:r>
    </w:p>
    <w:p w:rsidR="00715923" w:rsidRPr="00F36C89" w:rsidRDefault="007E7FEE">
      <w:pPr>
        <w:spacing w:after="80"/>
        <w:ind w:left="460" w:hanging="460"/>
        <w:rPr>
          <w:sz w:val="32"/>
          <w:szCs w:val="32"/>
        </w:rPr>
      </w:pPr>
      <w:r w:rsidRPr="00F36C89">
        <w:rPr>
          <w:sz w:val="28"/>
          <w:szCs w:val="28"/>
        </w:rPr>
        <w:t>78. Indian Council of Medical Research. National ethical guidelines for biomedical and health research involving human participants. New Delhi: ICMR; 2017.</w:t>
      </w:r>
    </w:p>
    <w:p w:rsidR="00715923" w:rsidRPr="00F36C89" w:rsidRDefault="007E7FEE">
      <w:pPr>
        <w:spacing w:after="80"/>
        <w:ind w:left="460" w:hanging="460"/>
        <w:rPr>
          <w:sz w:val="32"/>
          <w:szCs w:val="32"/>
        </w:rPr>
      </w:pPr>
      <w:r w:rsidRPr="00F36C89">
        <w:rPr>
          <w:sz w:val="28"/>
          <w:szCs w:val="28"/>
        </w:rPr>
        <w:t>79. Graham A, Powell M, Taylor N, Anderson D, Fitzgerald R. E</w:t>
      </w:r>
      <w:r w:rsidRPr="00F36C89">
        <w:rPr>
          <w:sz w:val="28"/>
          <w:szCs w:val="28"/>
        </w:rPr>
        <w:t>thical research involving children. Florence: UNICEF Office of Research - Innocenti; 2013.</w:t>
      </w:r>
    </w:p>
    <w:p w:rsidR="00715923" w:rsidRPr="00F36C89" w:rsidRDefault="007E7FEE">
      <w:pPr>
        <w:spacing w:after="80"/>
        <w:ind w:left="460" w:hanging="460"/>
        <w:rPr>
          <w:sz w:val="32"/>
          <w:szCs w:val="32"/>
        </w:rPr>
      </w:pPr>
      <w:r w:rsidRPr="00F36C89">
        <w:rPr>
          <w:sz w:val="28"/>
          <w:szCs w:val="28"/>
        </w:rPr>
        <w:t>80. Vandenberg RJ, Lance CE. A review and synthesis of the measurement invariance literature: suggestions, practices, and recommendations for organizational research</w:t>
      </w:r>
      <w:r w:rsidRPr="00F36C89">
        <w:rPr>
          <w:sz w:val="28"/>
          <w:szCs w:val="28"/>
        </w:rPr>
        <w:t>. Organ Res Methods. 2000;3(1):4-70. doi:10.1177/109442810031002</w:t>
      </w:r>
    </w:p>
    <w:p w:rsidR="00715923" w:rsidRPr="00F36C89" w:rsidRDefault="007E7FEE">
      <w:pPr>
        <w:spacing w:after="80"/>
        <w:ind w:left="460" w:hanging="460"/>
        <w:rPr>
          <w:sz w:val="32"/>
          <w:szCs w:val="32"/>
        </w:rPr>
      </w:pPr>
      <w:r w:rsidRPr="00F36C89">
        <w:rPr>
          <w:sz w:val="28"/>
          <w:szCs w:val="28"/>
        </w:rPr>
        <w:t>81. Benjamini Y, Hochberg Y. Controlling the false discovery rate: a practical and powerful approach to multiple testing. J R Stat Soc Series B Stat Methodol. 1995;57(1):289-300.</w:t>
      </w:r>
    </w:p>
    <w:p w:rsidR="00715923" w:rsidRPr="00F36C89" w:rsidRDefault="007E7FEE">
      <w:pPr>
        <w:spacing w:after="80"/>
        <w:ind w:left="460" w:hanging="460"/>
        <w:rPr>
          <w:sz w:val="32"/>
          <w:szCs w:val="32"/>
        </w:rPr>
      </w:pPr>
      <w:r w:rsidRPr="00F36C89">
        <w:rPr>
          <w:sz w:val="28"/>
          <w:szCs w:val="28"/>
        </w:rPr>
        <w:t>82. Hox JJ, Moerbeek M, van de Schoot R. Multilevel analysis: techniques and applications. 3rd ed. New York: Routledge; 2018.</w:t>
      </w:r>
    </w:p>
    <w:p w:rsidR="00715923" w:rsidRPr="00F36C89" w:rsidRDefault="007E7FEE">
      <w:pPr>
        <w:spacing w:after="80"/>
        <w:ind w:left="460" w:hanging="460"/>
        <w:rPr>
          <w:sz w:val="32"/>
          <w:szCs w:val="32"/>
        </w:rPr>
      </w:pPr>
      <w:r w:rsidRPr="00F36C89">
        <w:rPr>
          <w:sz w:val="28"/>
          <w:szCs w:val="28"/>
        </w:rPr>
        <w:t>83. McNeish DM, Stapleton LM. The effect of small sample size on two-level model estimates: a review and illustration. Educ Psycho</w:t>
      </w:r>
      <w:r w:rsidRPr="00F36C89">
        <w:rPr>
          <w:sz w:val="28"/>
          <w:szCs w:val="28"/>
        </w:rPr>
        <w:t>l Rev. 2016;28(2):295-314. doi:10.1007/s10648-014-9287-x</w:t>
      </w:r>
    </w:p>
    <w:p w:rsidR="00715923" w:rsidRPr="00F36C89" w:rsidRDefault="007E7FEE">
      <w:pPr>
        <w:spacing w:after="80"/>
        <w:ind w:left="460" w:hanging="460"/>
        <w:rPr>
          <w:sz w:val="32"/>
          <w:szCs w:val="32"/>
        </w:rPr>
      </w:pPr>
      <w:r w:rsidRPr="00F36C89">
        <w:rPr>
          <w:sz w:val="28"/>
          <w:szCs w:val="28"/>
        </w:rPr>
        <w:t>84. van Buuren S. Flexible imputation of missing data. 2nd ed. Boca Raton (FL): CRC Press; 2018.</w:t>
      </w:r>
    </w:p>
    <w:p w:rsidR="00715923" w:rsidRPr="00F36C89" w:rsidRDefault="007E7FEE">
      <w:pPr>
        <w:spacing w:after="80"/>
        <w:ind w:left="460" w:hanging="460"/>
        <w:rPr>
          <w:sz w:val="32"/>
          <w:szCs w:val="32"/>
        </w:rPr>
      </w:pPr>
      <w:r w:rsidRPr="00F36C89">
        <w:rPr>
          <w:sz w:val="28"/>
          <w:szCs w:val="28"/>
        </w:rPr>
        <w:t>85. Hsieh HF, Shannon SE. Three approaches to qualitative content analysis. Qual Health Res. 2005;15(9</w:t>
      </w:r>
      <w:r w:rsidRPr="00F36C89">
        <w:rPr>
          <w:sz w:val="28"/>
          <w:szCs w:val="28"/>
        </w:rPr>
        <w:t>):1277-88. doi:10.1177/1049732305276687</w:t>
      </w:r>
    </w:p>
    <w:sectPr w:rsidR="00715923" w:rsidRPr="00F36C89">
      <w:foot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7E7FEE">
      <w:r>
        <w:separator/>
      </w:r>
    </w:p>
  </w:endnote>
  <w:endnote w:type="continuationSeparator" w:id="0">
    <w:p w:rsidR="00000000" w:rsidRDefault="007E7F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5923" w:rsidRDefault="007E7FEE">
    <w:pPr>
      <w:jc w:val="center"/>
    </w:pPr>
    <w:r>
      <w:rPr>
        <w:color w:val="666666"/>
        <w:sz w:val="18"/>
        <w:szCs w:val="18"/>
      </w:rPr>
      <w:t xml:space="preserve">Page </w:t>
    </w:r>
    <w:r>
      <w:rPr>
        <w:color w:val="666666"/>
        <w:sz w:val="18"/>
        <w:szCs w:val="18"/>
      </w:rPr>
      <w:fldChar w:fldCharType="begin"/>
    </w:r>
    <w:r>
      <w:rPr>
        <w:color w:val="666666"/>
        <w:sz w:val="18"/>
        <w:szCs w:val="18"/>
      </w:rPr>
      <w:instrText>PAGE</w:instrText>
    </w:r>
    <w:r w:rsidR="00F36C89">
      <w:rPr>
        <w:color w:val="666666"/>
        <w:sz w:val="18"/>
        <w:szCs w:val="18"/>
      </w:rPr>
      <w:fldChar w:fldCharType="separate"/>
    </w:r>
    <w:r w:rsidR="00541160">
      <w:rPr>
        <w:noProof/>
        <w:color w:val="666666"/>
        <w:sz w:val="18"/>
        <w:szCs w:val="18"/>
      </w:rPr>
      <w:t>6</w:t>
    </w:r>
    <w:r>
      <w:rPr>
        <w:color w:val="666666"/>
        <w:sz w:val="18"/>
        <w:szCs w:val="18"/>
      </w:rPr>
      <w:fldChar w:fldCharType="end"/>
    </w:r>
    <w:r>
      <w:rPr>
        <w:color w:val="666666"/>
        <w:sz w:val="18"/>
        <w:szCs w:val="18"/>
      </w:rPr>
      <w:t xml:space="preserve"> of </w:t>
    </w:r>
    <w:r>
      <w:rPr>
        <w:color w:val="666666"/>
        <w:sz w:val="18"/>
        <w:szCs w:val="18"/>
      </w:rPr>
      <w:fldChar w:fldCharType="begin"/>
    </w:r>
    <w:r>
      <w:rPr>
        <w:color w:val="666666"/>
        <w:sz w:val="18"/>
        <w:szCs w:val="18"/>
      </w:rPr>
      <w:instrText>NUMPAGES</w:instrText>
    </w:r>
    <w:r w:rsidR="00F36C89">
      <w:rPr>
        <w:color w:val="666666"/>
        <w:sz w:val="18"/>
        <w:szCs w:val="18"/>
      </w:rPr>
      <w:fldChar w:fldCharType="separate"/>
    </w:r>
    <w:r w:rsidR="00541160">
      <w:rPr>
        <w:noProof/>
        <w:color w:val="666666"/>
        <w:sz w:val="18"/>
        <w:szCs w:val="18"/>
      </w:rPr>
      <w:t>48</w:t>
    </w:r>
    <w:r>
      <w:rPr>
        <w:color w:val="666666"/>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7E7FEE">
      <w:r>
        <w:separator/>
      </w:r>
    </w:p>
  </w:footnote>
  <w:footnote w:type="continuationSeparator" w:id="0">
    <w:p w:rsidR="00000000" w:rsidRDefault="007E7F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F144E8"/>
    <w:multiLevelType w:val="hybridMultilevel"/>
    <w:tmpl w:val="5924201E"/>
    <w:lvl w:ilvl="0" w:tplc="7BA4B500">
      <w:start w:val="1"/>
      <w:numFmt w:val="decimal"/>
      <w:lvlText w:val="%1."/>
      <w:lvlJc w:val="left"/>
      <w:pPr>
        <w:ind w:left="489" w:hanging="316"/>
      </w:pPr>
    </w:lvl>
    <w:lvl w:ilvl="1" w:tplc="38EC499A">
      <w:numFmt w:val="decimal"/>
      <w:lvlText w:val=""/>
      <w:lvlJc w:val="left"/>
    </w:lvl>
    <w:lvl w:ilvl="2" w:tplc="24D09EE8">
      <w:numFmt w:val="decimal"/>
      <w:lvlText w:val=""/>
      <w:lvlJc w:val="left"/>
    </w:lvl>
    <w:lvl w:ilvl="3" w:tplc="D9DA1DF2">
      <w:numFmt w:val="decimal"/>
      <w:lvlText w:val=""/>
      <w:lvlJc w:val="left"/>
    </w:lvl>
    <w:lvl w:ilvl="4" w:tplc="0D12BD08">
      <w:numFmt w:val="decimal"/>
      <w:lvlText w:val=""/>
      <w:lvlJc w:val="left"/>
    </w:lvl>
    <w:lvl w:ilvl="5" w:tplc="5656863A">
      <w:numFmt w:val="decimal"/>
      <w:lvlText w:val=""/>
      <w:lvlJc w:val="left"/>
    </w:lvl>
    <w:lvl w:ilvl="6" w:tplc="E21E59C6">
      <w:numFmt w:val="decimal"/>
      <w:lvlText w:val=""/>
      <w:lvlJc w:val="left"/>
    </w:lvl>
    <w:lvl w:ilvl="7" w:tplc="7D1615D6">
      <w:numFmt w:val="decimal"/>
      <w:lvlText w:val=""/>
      <w:lvlJc w:val="left"/>
    </w:lvl>
    <w:lvl w:ilvl="8" w:tplc="F47266EA">
      <w:numFmt w:val="decimal"/>
      <w:lvlText w:val=""/>
      <w:lvlJc w:val="left"/>
    </w:lvl>
  </w:abstractNum>
  <w:abstractNum w:abstractNumId="1" w15:restartNumberingAfterBreak="0">
    <w:nsid w:val="32715CF7"/>
    <w:multiLevelType w:val="hybridMultilevel"/>
    <w:tmpl w:val="6B761D9C"/>
    <w:lvl w:ilvl="0" w:tplc="4844B5AC">
      <w:start w:val="1"/>
      <w:numFmt w:val="bullet"/>
      <w:lvlText w:val="•"/>
      <w:lvlJc w:val="left"/>
      <w:pPr>
        <w:ind w:left="431" w:hanging="259"/>
      </w:pPr>
    </w:lvl>
    <w:lvl w:ilvl="1" w:tplc="02FE4190">
      <w:start w:val="1"/>
      <w:numFmt w:val="bullet"/>
      <w:lvlText w:val="◦"/>
      <w:lvlJc w:val="left"/>
      <w:pPr>
        <w:ind w:left="863" w:hanging="259"/>
      </w:pPr>
    </w:lvl>
    <w:lvl w:ilvl="2" w:tplc="BFF0F35C">
      <w:numFmt w:val="decimal"/>
      <w:lvlText w:val=""/>
      <w:lvlJc w:val="left"/>
    </w:lvl>
    <w:lvl w:ilvl="3" w:tplc="C71CF17A">
      <w:numFmt w:val="decimal"/>
      <w:lvlText w:val=""/>
      <w:lvlJc w:val="left"/>
    </w:lvl>
    <w:lvl w:ilvl="4" w:tplc="9F9A5274">
      <w:numFmt w:val="decimal"/>
      <w:lvlText w:val=""/>
      <w:lvlJc w:val="left"/>
    </w:lvl>
    <w:lvl w:ilvl="5" w:tplc="99C6CD0A">
      <w:numFmt w:val="decimal"/>
      <w:lvlText w:val=""/>
      <w:lvlJc w:val="left"/>
    </w:lvl>
    <w:lvl w:ilvl="6" w:tplc="9C4ED8AA">
      <w:numFmt w:val="decimal"/>
      <w:lvlText w:val=""/>
      <w:lvlJc w:val="left"/>
    </w:lvl>
    <w:lvl w:ilvl="7" w:tplc="B3C2C22C">
      <w:numFmt w:val="decimal"/>
      <w:lvlText w:val=""/>
      <w:lvlJc w:val="left"/>
    </w:lvl>
    <w:lvl w:ilvl="8" w:tplc="A8EE37F6">
      <w:numFmt w:val="decimal"/>
      <w:lvlText w:val=""/>
      <w:lvlJc w:val="left"/>
    </w:lvl>
  </w:abstractNum>
  <w:abstractNum w:abstractNumId="2" w15:restartNumberingAfterBreak="0">
    <w:nsid w:val="53BE6AF4"/>
    <w:multiLevelType w:val="hybridMultilevel"/>
    <w:tmpl w:val="D35E410C"/>
    <w:lvl w:ilvl="0" w:tplc="DB107C48">
      <w:start w:val="1"/>
      <w:numFmt w:val="decimal"/>
      <w:lvlText w:val="%1."/>
      <w:lvlJc w:val="left"/>
      <w:pPr>
        <w:ind w:left="489" w:hanging="316"/>
      </w:pPr>
    </w:lvl>
    <w:lvl w:ilvl="1" w:tplc="5BFAE84E">
      <w:numFmt w:val="decimal"/>
      <w:lvlText w:val=""/>
      <w:lvlJc w:val="left"/>
    </w:lvl>
    <w:lvl w:ilvl="2" w:tplc="7F9E2F54">
      <w:numFmt w:val="decimal"/>
      <w:lvlText w:val=""/>
      <w:lvlJc w:val="left"/>
    </w:lvl>
    <w:lvl w:ilvl="3" w:tplc="361AD59A">
      <w:numFmt w:val="decimal"/>
      <w:lvlText w:val=""/>
      <w:lvlJc w:val="left"/>
    </w:lvl>
    <w:lvl w:ilvl="4" w:tplc="24EA73D2">
      <w:numFmt w:val="decimal"/>
      <w:lvlText w:val=""/>
      <w:lvlJc w:val="left"/>
    </w:lvl>
    <w:lvl w:ilvl="5" w:tplc="DF60E16E">
      <w:numFmt w:val="decimal"/>
      <w:lvlText w:val=""/>
      <w:lvlJc w:val="left"/>
    </w:lvl>
    <w:lvl w:ilvl="6" w:tplc="FAE82238">
      <w:numFmt w:val="decimal"/>
      <w:lvlText w:val=""/>
      <w:lvlJc w:val="left"/>
    </w:lvl>
    <w:lvl w:ilvl="7" w:tplc="23B4230E">
      <w:numFmt w:val="decimal"/>
      <w:lvlText w:val=""/>
      <w:lvlJc w:val="left"/>
    </w:lvl>
    <w:lvl w:ilvl="8" w:tplc="4F6EABFC">
      <w:numFmt w:val="decimal"/>
      <w:lvlText w:val=""/>
      <w:lvlJc w:val="left"/>
    </w:lvl>
  </w:abstractNum>
  <w:abstractNum w:abstractNumId="3" w15:restartNumberingAfterBreak="0">
    <w:nsid w:val="6C234907"/>
    <w:multiLevelType w:val="hybridMultilevel"/>
    <w:tmpl w:val="8A742EB8"/>
    <w:lvl w:ilvl="0" w:tplc="AE36D510">
      <w:start w:val="1"/>
      <w:numFmt w:val="bullet"/>
      <w:lvlText w:val="●"/>
      <w:lvlJc w:val="left"/>
      <w:pPr>
        <w:ind w:left="720" w:hanging="360"/>
      </w:pPr>
    </w:lvl>
    <w:lvl w:ilvl="1" w:tplc="4A7E412C">
      <w:start w:val="1"/>
      <w:numFmt w:val="bullet"/>
      <w:lvlText w:val="○"/>
      <w:lvlJc w:val="left"/>
      <w:pPr>
        <w:ind w:left="1440" w:hanging="360"/>
      </w:pPr>
    </w:lvl>
    <w:lvl w:ilvl="2" w:tplc="C16CD7AA">
      <w:start w:val="1"/>
      <w:numFmt w:val="bullet"/>
      <w:lvlText w:val="■"/>
      <w:lvlJc w:val="left"/>
      <w:pPr>
        <w:ind w:left="2160" w:hanging="360"/>
      </w:pPr>
    </w:lvl>
    <w:lvl w:ilvl="3" w:tplc="4EBC014E">
      <w:start w:val="1"/>
      <w:numFmt w:val="bullet"/>
      <w:lvlText w:val="●"/>
      <w:lvlJc w:val="left"/>
      <w:pPr>
        <w:ind w:left="2880" w:hanging="360"/>
      </w:pPr>
    </w:lvl>
    <w:lvl w:ilvl="4" w:tplc="8A2C5288">
      <w:start w:val="1"/>
      <w:numFmt w:val="bullet"/>
      <w:lvlText w:val="○"/>
      <w:lvlJc w:val="left"/>
      <w:pPr>
        <w:ind w:left="3600" w:hanging="360"/>
      </w:pPr>
    </w:lvl>
    <w:lvl w:ilvl="5" w:tplc="B6C8BDB4">
      <w:start w:val="1"/>
      <w:numFmt w:val="bullet"/>
      <w:lvlText w:val="■"/>
      <w:lvlJc w:val="left"/>
      <w:pPr>
        <w:ind w:left="4320" w:hanging="360"/>
      </w:pPr>
    </w:lvl>
    <w:lvl w:ilvl="6" w:tplc="3EC452C2">
      <w:start w:val="1"/>
      <w:numFmt w:val="bullet"/>
      <w:lvlText w:val="●"/>
      <w:lvlJc w:val="left"/>
      <w:pPr>
        <w:ind w:left="5040" w:hanging="360"/>
      </w:pPr>
    </w:lvl>
    <w:lvl w:ilvl="7" w:tplc="416E678A">
      <w:start w:val="1"/>
      <w:numFmt w:val="bullet"/>
      <w:lvlText w:val="●"/>
      <w:lvlJc w:val="left"/>
      <w:pPr>
        <w:ind w:left="5760" w:hanging="360"/>
      </w:pPr>
    </w:lvl>
    <w:lvl w:ilvl="8" w:tplc="B086AE4E">
      <w:start w:val="1"/>
      <w:numFmt w:val="bullet"/>
      <w:lvlText w:val="●"/>
      <w:lvlJc w:val="left"/>
      <w:pPr>
        <w:ind w:left="6480" w:hanging="360"/>
      </w:pPr>
    </w:lvl>
  </w:abstractNum>
  <w:num w:numId="1">
    <w:abstractNumId w:val="3"/>
    <w:lvlOverride w:ilvl="0">
      <w:startOverride w:val="1"/>
    </w:lvlOverride>
  </w:num>
  <w:num w:numId="2">
    <w:abstractNumId w:val="0"/>
    <w:lvlOverride w:ilvl="0">
      <w:startOverride w:val="1"/>
    </w:lvlOverride>
  </w:num>
  <w:num w:numId="3">
    <w:abstractNumId w:val="1"/>
    <w:lvlOverride w:ilvl="0">
      <w:startOverride w:val="1"/>
    </w:lvlOverride>
  </w:num>
  <w:num w:numId="4">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5923"/>
    <w:rsid w:val="00541160"/>
    <w:rsid w:val="00715923"/>
    <w:rsid w:val="007E7FEE"/>
    <w:rsid w:val="00F36C89"/>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52B03C"/>
  <w15:docId w15:val="{0AA6678D-108C-4A29-A0F2-C84521E37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color w:val="1A1A1A"/>
        <w:sz w:val="22"/>
        <w:szCs w:val="22"/>
        <w:lang w:val="en-IN" w:eastAsia="en-I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qFormat/>
    <w:pPr>
      <w:outlineLvl w:val="0"/>
    </w:pPr>
  </w:style>
  <w:style w:type="paragraph" w:styleId="Heading2">
    <w:name w:val="heading 2"/>
    <w:qFormat/>
    <w:pPr>
      <w:outlineLvl w:val="1"/>
    </w:pPr>
  </w:style>
  <w:style w:type="paragraph" w:styleId="Heading3">
    <w:name w:val="heading 3"/>
    <w:qFormat/>
    <w:pPr>
      <w:outlineLvl w:val="2"/>
    </w:pPr>
  </w:style>
  <w:style w:type="paragraph" w:styleId="Heading4">
    <w:name w:val="heading 4"/>
    <w:qFormat/>
    <w:pPr>
      <w:outlineLvl w:val="3"/>
    </w:pPr>
    <w:rPr>
      <w:i/>
      <w:iCs/>
      <w:color w:val="2E74B5"/>
    </w:rPr>
  </w:style>
  <w:style w:type="paragraph" w:styleId="Heading5">
    <w:name w:val="heading 5"/>
    <w:qFormat/>
    <w:pPr>
      <w:outlineLvl w:val="4"/>
    </w:pPr>
    <w:rPr>
      <w:color w:val="2E74B5"/>
    </w:rPr>
  </w:style>
  <w:style w:type="paragraph" w:styleId="Heading6">
    <w:name w:val="heading 6"/>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48</Pages>
  <Words>13716</Words>
  <Characters>78183</Characters>
  <Application>Microsoft Office Word</Application>
  <DocSecurity>0</DocSecurity>
  <Lines>651</Lines>
  <Paragraphs>183</Paragraphs>
  <ScaleCrop>false</ScaleCrop>
  <Company/>
  <LinksUpToDate>false</LinksUpToDate>
  <CharactersWithSpaces>91716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Algorithmic News Literacy Among Indian Adolescents</dc:title>
  <dc:creator>Aryaveer Singh</dc:creator>
  <dc:description>Multi-site cross-sectional study protocol and instrument development plan</dc:description>
  <cp:lastModifiedBy>CDLU</cp:lastModifiedBy>
  <cp:revision>2</cp:revision>
  <dcterms:created xsi:type="dcterms:W3CDTF">2026-08-28T17:44:00Z</dcterms:created>
  <dcterms:modified xsi:type="dcterms:W3CDTF">2026-08-28T17:44:00Z</dcterms:modified>
</cp:coreProperties>
</file>