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0B1D8" w14:textId="77777777" w:rsidR="005F5683" w:rsidRDefault="00C75C6D">
      <w:pPr>
        <w:spacing w:after="495" w:line="259" w:lineRule="auto"/>
        <w:ind w:left="16" w:right="0" w:firstLine="0"/>
        <w:jc w:val="left"/>
      </w:pPr>
      <w:r>
        <w:rPr>
          <w:noProof/>
          <w:sz w:val="22"/>
        </w:rPr>
        <mc:AlternateContent>
          <mc:Choice Requires="wpg">
            <w:drawing>
              <wp:inline distT="0" distB="0" distL="0" distR="0" wp14:anchorId="2F2381D9" wp14:editId="0039324F">
                <wp:extent cx="6400800" cy="15189"/>
                <wp:effectExtent l="0" t="0" r="0" b="0"/>
                <wp:docPr id="9211" name="Group 9211"/>
                <wp:cNvGraphicFramePr/>
                <a:graphic xmlns:a="http://schemas.openxmlformats.org/drawingml/2006/main">
                  <a:graphicData uri="http://schemas.microsoft.com/office/word/2010/wordprocessingGroup">
                    <wpg:wgp>
                      <wpg:cNvGrpSpPr/>
                      <wpg:grpSpPr>
                        <a:xfrm>
                          <a:off x="0" y="0"/>
                          <a:ext cx="6400800" cy="15189"/>
                          <a:chOff x="0" y="0"/>
                          <a:chExt cx="6400800" cy="15189"/>
                        </a:xfrm>
                      </wpg:grpSpPr>
                      <wps:wsp>
                        <wps:cNvPr id="12879" name="Shape 12879"/>
                        <wps:cNvSpPr/>
                        <wps:spPr>
                          <a:xfrm>
                            <a:off x="0" y="0"/>
                            <a:ext cx="6400800" cy="15189"/>
                          </a:xfrm>
                          <a:custGeom>
                            <a:avLst/>
                            <a:gdLst/>
                            <a:ahLst/>
                            <a:cxnLst/>
                            <a:rect l="0" t="0" r="0" b="0"/>
                            <a:pathLst>
                              <a:path w="6400800" h="15189">
                                <a:moveTo>
                                  <a:pt x="0" y="0"/>
                                </a:moveTo>
                                <a:lnTo>
                                  <a:pt x="6400800" y="0"/>
                                </a:lnTo>
                                <a:lnTo>
                                  <a:pt x="6400800" y="15189"/>
                                </a:lnTo>
                                <a:lnTo>
                                  <a:pt x="0" y="151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211" style="width:504pt;height:1.196pt;mso-position-horizontal-relative:char;mso-position-vertical-relative:line" coordsize="64008,151">
                <v:shape id="Shape 12880" style="position:absolute;width:64008;height:151;left:0;top:0;" coordsize="6400800,15189" path="m0,0l6400800,0l6400800,15189l0,15189l0,0">
                  <v:stroke weight="0pt" endcap="flat" joinstyle="miter" miterlimit="10" on="false" color="#000000" opacity="0"/>
                  <v:fill on="true" color="#000000"/>
                </v:shape>
              </v:group>
            </w:pict>
          </mc:Fallback>
        </mc:AlternateContent>
      </w:r>
    </w:p>
    <w:p w14:paraId="22A39DE3" w14:textId="77777777" w:rsidR="005F5683" w:rsidRDefault="00C75C6D">
      <w:pPr>
        <w:spacing w:after="155" w:line="259" w:lineRule="auto"/>
        <w:ind w:left="0" w:right="0" w:firstLine="0"/>
        <w:jc w:val="left"/>
      </w:pPr>
      <w:r>
        <w:rPr>
          <w:sz w:val="44"/>
        </w:rPr>
        <w:t>Applying Data Science to Environmental Conservation:</w:t>
      </w:r>
    </w:p>
    <w:p w14:paraId="79ECCF06" w14:textId="77777777" w:rsidR="005F5683" w:rsidRDefault="00C75C6D">
      <w:pPr>
        <w:spacing w:after="0" w:line="259" w:lineRule="auto"/>
        <w:ind w:left="0" w:right="57" w:firstLine="0"/>
        <w:jc w:val="center"/>
      </w:pPr>
      <w:r>
        <w:rPr>
          <w:sz w:val="44"/>
        </w:rPr>
        <w:t>Deforestation and Biodiversity Loss</w:t>
      </w:r>
    </w:p>
    <w:p w14:paraId="0CCF16EA" w14:textId="77777777" w:rsidR="005F5683" w:rsidRDefault="00C75C6D">
      <w:pPr>
        <w:spacing w:after="1415" w:line="259" w:lineRule="auto"/>
        <w:ind w:left="16" w:right="0" w:firstLine="0"/>
        <w:jc w:val="left"/>
      </w:pPr>
      <w:r>
        <w:rPr>
          <w:noProof/>
          <w:sz w:val="22"/>
        </w:rPr>
        <mc:AlternateContent>
          <mc:Choice Requires="wpg">
            <w:drawing>
              <wp:inline distT="0" distB="0" distL="0" distR="0" wp14:anchorId="2D4BB753" wp14:editId="4CC4AE97">
                <wp:extent cx="6400800" cy="15189"/>
                <wp:effectExtent l="0" t="0" r="0" b="0"/>
                <wp:docPr id="9212" name="Group 9212"/>
                <wp:cNvGraphicFramePr/>
                <a:graphic xmlns:a="http://schemas.openxmlformats.org/drawingml/2006/main">
                  <a:graphicData uri="http://schemas.microsoft.com/office/word/2010/wordprocessingGroup">
                    <wpg:wgp>
                      <wpg:cNvGrpSpPr/>
                      <wpg:grpSpPr>
                        <a:xfrm>
                          <a:off x="0" y="0"/>
                          <a:ext cx="6400800" cy="15189"/>
                          <a:chOff x="0" y="0"/>
                          <a:chExt cx="6400800" cy="15189"/>
                        </a:xfrm>
                      </wpg:grpSpPr>
                      <wps:wsp>
                        <wps:cNvPr id="12881" name="Shape 12881"/>
                        <wps:cNvSpPr/>
                        <wps:spPr>
                          <a:xfrm>
                            <a:off x="0" y="0"/>
                            <a:ext cx="6400800" cy="15189"/>
                          </a:xfrm>
                          <a:custGeom>
                            <a:avLst/>
                            <a:gdLst/>
                            <a:ahLst/>
                            <a:cxnLst/>
                            <a:rect l="0" t="0" r="0" b="0"/>
                            <a:pathLst>
                              <a:path w="6400800" h="15189">
                                <a:moveTo>
                                  <a:pt x="0" y="0"/>
                                </a:moveTo>
                                <a:lnTo>
                                  <a:pt x="6400800" y="0"/>
                                </a:lnTo>
                                <a:lnTo>
                                  <a:pt x="6400800" y="15189"/>
                                </a:lnTo>
                                <a:lnTo>
                                  <a:pt x="0" y="151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212" style="width:504pt;height:1.19601pt;mso-position-horizontal-relative:char;mso-position-vertical-relative:line" coordsize="64008,151">
                <v:shape id="Shape 12882" style="position:absolute;width:64008;height:151;left:0;top:0;" coordsize="6400800,15189" path="m0,0l6400800,0l6400800,15189l0,15189l0,0">
                  <v:stroke weight="0pt" endcap="flat" joinstyle="miter" miterlimit="10" on="false" color="#000000" opacity="0"/>
                  <v:fill on="true" color="#000000"/>
                </v:shape>
              </v:group>
            </w:pict>
          </mc:Fallback>
        </mc:AlternateContent>
      </w:r>
    </w:p>
    <w:p w14:paraId="7FAEBAB0" w14:textId="77777777" w:rsidR="005F5683" w:rsidRDefault="00C75C6D">
      <w:pPr>
        <w:spacing w:after="876" w:line="265" w:lineRule="auto"/>
        <w:ind w:left="10" w:right="70" w:hanging="10"/>
        <w:jc w:val="center"/>
      </w:pPr>
      <w:r>
        <w:rPr>
          <w:i/>
          <w:sz w:val="24"/>
        </w:rPr>
        <w:t>Research Paper</w:t>
      </w:r>
    </w:p>
    <w:tbl>
      <w:tblPr>
        <w:tblStyle w:val="TableGrid"/>
        <w:tblpPr w:vertAnchor="text" w:tblpX="279" w:tblpY="24"/>
        <w:tblOverlap w:val="never"/>
        <w:tblW w:w="9553" w:type="dxa"/>
        <w:tblInd w:w="0" w:type="dxa"/>
        <w:tblCellMar>
          <w:top w:w="0" w:type="dxa"/>
          <w:left w:w="0" w:type="dxa"/>
          <w:bottom w:w="0" w:type="dxa"/>
          <w:right w:w="0" w:type="dxa"/>
        </w:tblCellMar>
        <w:tblLook w:val="04A0" w:firstRow="1" w:lastRow="0" w:firstColumn="1" w:lastColumn="0" w:noHBand="0" w:noVBand="1"/>
      </w:tblPr>
      <w:tblGrid>
        <w:gridCol w:w="5444"/>
        <w:gridCol w:w="4109"/>
      </w:tblGrid>
      <w:tr w:rsidR="005F5683" w14:paraId="4A7FD351" w14:textId="77777777">
        <w:trPr>
          <w:trHeight w:val="1798"/>
        </w:trPr>
        <w:tc>
          <w:tcPr>
            <w:tcW w:w="5443" w:type="dxa"/>
            <w:tcBorders>
              <w:top w:val="nil"/>
              <w:left w:val="nil"/>
              <w:bottom w:val="nil"/>
              <w:right w:val="nil"/>
            </w:tcBorders>
          </w:tcPr>
          <w:p w14:paraId="6D3CEE2B" w14:textId="4371CF6B" w:rsidR="005F5683" w:rsidRDefault="00881C27">
            <w:pPr>
              <w:spacing w:after="130" w:line="259" w:lineRule="auto"/>
              <w:ind w:left="1939" w:right="0" w:firstLine="0"/>
              <w:jc w:val="left"/>
            </w:pPr>
            <w:r>
              <w:rPr>
                <w:sz w:val="14"/>
              </w:rPr>
              <w:t>G</w:t>
            </w:r>
            <w:r w:rsidR="00C75C6D">
              <w:rPr>
                <w:sz w:val="14"/>
              </w:rPr>
              <w:t>UIDE</w:t>
            </w:r>
          </w:p>
          <w:p w14:paraId="5589C7C1" w14:textId="77777777" w:rsidR="005F5683" w:rsidRDefault="00C75C6D">
            <w:pPr>
              <w:spacing w:after="0" w:line="259" w:lineRule="auto"/>
              <w:ind w:left="1239" w:right="0" w:firstLine="0"/>
              <w:jc w:val="left"/>
            </w:pPr>
            <w:r>
              <w:t>Assistant Professor</w:t>
            </w:r>
          </w:p>
          <w:p w14:paraId="21C112C1" w14:textId="77777777" w:rsidR="005F5683" w:rsidRDefault="00C75C6D">
            <w:pPr>
              <w:spacing w:after="115" w:line="259" w:lineRule="auto"/>
              <w:ind w:left="874" w:right="0" w:firstLine="0"/>
              <w:jc w:val="left"/>
            </w:pPr>
            <w:r>
              <w:t>Smita Mangesh Junnarkar</w:t>
            </w:r>
          </w:p>
          <w:p w14:paraId="06F92F36" w14:textId="77777777" w:rsidR="005F5683" w:rsidRDefault="00C75C6D">
            <w:pPr>
              <w:spacing w:after="31" w:line="240" w:lineRule="auto"/>
              <w:ind w:left="0" w:right="1000" w:firstLine="227"/>
              <w:jc w:val="left"/>
            </w:pPr>
            <w:r>
              <w:rPr>
                <w:sz w:val="18"/>
              </w:rPr>
              <w:t>Department of Data Science, SIES College of Arts, Science and Commerce (Empowered Autonomous), Sion (W), Mumbai.</w:t>
            </w:r>
          </w:p>
          <w:p w14:paraId="2094EDD5" w14:textId="08C8AF85" w:rsidR="005F5683" w:rsidRDefault="00C75C6D">
            <w:pPr>
              <w:spacing w:after="0" w:line="259" w:lineRule="auto"/>
              <w:ind w:left="445" w:right="1700" w:hanging="83"/>
              <w:jc w:val="left"/>
            </w:pPr>
            <w:r>
              <w:rPr>
                <w:rFonts w:ascii="Cambria" w:eastAsia="Cambria" w:hAnsi="Cambria" w:cs="Cambria"/>
                <w:sz w:val="12"/>
              </w:rPr>
              <w:t xml:space="preserve"> </w:t>
            </w:r>
            <w:r>
              <w:rPr>
                <w:sz w:val="18"/>
              </w:rPr>
              <w:t>Assistant Professor Smita Mangesh Junnarkar</w:t>
            </w:r>
          </w:p>
        </w:tc>
        <w:tc>
          <w:tcPr>
            <w:tcW w:w="4109" w:type="dxa"/>
            <w:tcBorders>
              <w:top w:val="nil"/>
              <w:left w:val="nil"/>
              <w:bottom w:val="nil"/>
              <w:right w:val="nil"/>
            </w:tcBorders>
          </w:tcPr>
          <w:p w14:paraId="0C74B53C" w14:textId="77777777" w:rsidR="005F5683" w:rsidRDefault="00C75C6D">
            <w:pPr>
              <w:spacing w:after="82" w:line="259" w:lineRule="auto"/>
              <w:ind w:left="0" w:right="7" w:firstLine="0"/>
              <w:jc w:val="center"/>
            </w:pPr>
            <w:r>
              <w:rPr>
                <w:sz w:val="18"/>
              </w:rPr>
              <w:t>A</w:t>
            </w:r>
            <w:r>
              <w:rPr>
                <w:sz w:val="14"/>
              </w:rPr>
              <w:t>UTHOR</w:t>
            </w:r>
          </w:p>
          <w:p w14:paraId="745982C1" w14:textId="253F4F0F" w:rsidR="005F5683" w:rsidRDefault="00C75C6D">
            <w:pPr>
              <w:spacing w:after="216" w:line="259" w:lineRule="auto"/>
              <w:ind w:left="0" w:right="6" w:firstLine="0"/>
              <w:jc w:val="center"/>
            </w:pPr>
            <w:r>
              <w:t>Shakti Kumaran</w:t>
            </w:r>
          </w:p>
          <w:p w14:paraId="28FA1CA7" w14:textId="77777777" w:rsidR="005F5683" w:rsidRDefault="00C75C6D">
            <w:pPr>
              <w:spacing w:after="31" w:line="240" w:lineRule="auto"/>
              <w:ind w:left="0" w:right="0" w:firstLine="0"/>
              <w:jc w:val="center"/>
            </w:pPr>
            <w:r>
              <w:rPr>
                <w:sz w:val="18"/>
              </w:rPr>
              <w:t>Department of Data Science, SIES College of Arts, Science and Commerce (Empowered Autonomous), Sion (W), Mumbai.</w:t>
            </w:r>
          </w:p>
          <w:p w14:paraId="1E29F3EF" w14:textId="6DE6BEF5" w:rsidR="005F5683" w:rsidRDefault="00C75C6D">
            <w:pPr>
              <w:spacing w:after="0" w:line="259" w:lineRule="auto"/>
              <w:ind w:left="824" w:right="745" w:hanging="83"/>
              <w:jc w:val="left"/>
            </w:pPr>
            <w:r>
              <w:rPr>
                <w:sz w:val="18"/>
              </w:rPr>
              <w:t>shaktifds2425051@ascs.sies.edu.in</w:t>
            </w:r>
          </w:p>
        </w:tc>
      </w:tr>
    </w:tbl>
    <w:p w14:paraId="24DAACCF" w14:textId="4838BB2F" w:rsidR="005F5683" w:rsidRDefault="005F5683">
      <w:pPr>
        <w:spacing w:after="5351" w:line="250" w:lineRule="auto"/>
        <w:ind w:left="2080" w:right="0" w:firstLine="0"/>
      </w:pPr>
    </w:p>
    <w:p w14:paraId="742447A1" w14:textId="77777777" w:rsidR="005F5683" w:rsidRDefault="00C75C6D">
      <w:pPr>
        <w:spacing w:after="876" w:line="265" w:lineRule="auto"/>
        <w:ind w:left="10" w:right="68" w:hanging="10"/>
        <w:jc w:val="center"/>
      </w:pPr>
      <w:r>
        <w:rPr>
          <w:i/>
          <w:sz w:val="24"/>
        </w:rPr>
        <w:lastRenderedPageBreak/>
        <w:t>September 2026</w:t>
      </w:r>
    </w:p>
    <w:p w14:paraId="2EDCE1CD" w14:textId="77777777" w:rsidR="005F5683" w:rsidRDefault="00C75C6D">
      <w:pPr>
        <w:pStyle w:val="Heading1"/>
        <w:spacing w:after="188"/>
        <w:ind w:left="17" w:right="65"/>
      </w:pPr>
      <w:r>
        <w:rPr>
          <w:sz w:val="18"/>
        </w:rPr>
        <w:t>A</w:t>
      </w:r>
      <w:r>
        <w:t>BSTRACT</w:t>
      </w:r>
    </w:p>
    <w:p w14:paraId="6ACF481E" w14:textId="77777777" w:rsidR="005F5683" w:rsidRDefault="00C75C6D">
      <w:pPr>
        <w:spacing w:after="435" w:line="250" w:lineRule="auto"/>
        <w:ind w:left="408" w:right="449" w:firstLine="6"/>
      </w:pPr>
      <w:r>
        <w:rPr>
          <w:sz w:val="18"/>
        </w:rPr>
        <w:t>Deforestation and biodiversity loss remain among the most pressing environmental challenges of the twenty-first century, driven by agricultural expansion, illegal logging, infrastructure development, and climate change. Traditional conservation monitoring, which relies heavily on manual field surveys and periodic aerial inspection, is often too slow and too coarse to keep pace with the rate of ecosystem degradation. This paper examines how data science techniques, including satellite remote sensing, machine</w:t>
      </w:r>
      <w:r>
        <w:rPr>
          <w:sz w:val="18"/>
        </w:rPr>
        <w:t xml:space="preserve"> learning classification, predictive modeling, and network analysis, are being applied to detect deforestation in near real time, forecast biodiversity risk, and prioritize conservation interventions. Drawing on peer-reviewed literature, open datasets such as Global Forest Watch and the IUCN Red List, and case studies from the Amazon, the Congo Basin, and Southeast Asia, the paper evaluates the strengths, limitations, and ethical considerations of current approaches. It concludes that while data-driven meth</w:t>
      </w:r>
      <w:r>
        <w:rPr>
          <w:sz w:val="18"/>
        </w:rPr>
        <w:t>ods substantially improve the speed and precision of conservation monitoring, their impact depends on integration with policy enforcement, community engagement, and continued investment in open, high-resolution environmental data infrastructure.</w:t>
      </w:r>
    </w:p>
    <w:p w14:paraId="2D0E8E27" w14:textId="77777777" w:rsidR="005F5683" w:rsidRDefault="00C75C6D">
      <w:pPr>
        <w:spacing w:after="76" w:line="250" w:lineRule="auto"/>
        <w:ind w:left="414" w:right="0" w:firstLine="0"/>
      </w:pPr>
      <w:r>
        <w:rPr>
          <w:i/>
          <w:sz w:val="18"/>
        </w:rPr>
        <w:t>Keywords—deforestation, biodiversity loss, data science, machine learning, remote sensing, GIS, conservation informatics,</w:t>
      </w:r>
    </w:p>
    <w:p w14:paraId="22702D56" w14:textId="77777777" w:rsidR="005F5683" w:rsidRDefault="005F5683">
      <w:pPr>
        <w:sectPr w:rsidR="005F5683">
          <w:headerReference w:type="even" r:id="rId7"/>
          <w:headerReference w:type="default" r:id="rId8"/>
          <w:footerReference w:type="even" r:id="rId9"/>
          <w:footerReference w:type="default" r:id="rId10"/>
          <w:headerReference w:type="first" r:id="rId11"/>
          <w:footerReference w:type="first" r:id="rId12"/>
          <w:pgSz w:w="12240" w:h="15840"/>
          <w:pgMar w:top="1516" w:right="1007" w:bottom="1970" w:left="1064" w:header="720" w:footer="720" w:gutter="0"/>
          <w:pgNumType w:start="0"/>
          <w:cols w:space="720"/>
          <w:titlePg/>
        </w:sectPr>
      </w:pPr>
    </w:p>
    <w:p w14:paraId="4487F470" w14:textId="77777777" w:rsidR="005F5683" w:rsidRDefault="00C75C6D">
      <w:pPr>
        <w:spacing w:after="447" w:line="250" w:lineRule="auto"/>
        <w:ind w:left="438" w:right="0" w:firstLine="0"/>
      </w:pPr>
      <w:r>
        <w:rPr>
          <w:noProof/>
          <w:sz w:val="22"/>
        </w:rPr>
        <mc:AlternateContent>
          <mc:Choice Requires="wpg">
            <w:drawing>
              <wp:anchor distT="0" distB="0" distL="114300" distR="114300" simplePos="0" relativeHeight="251658240" behindDoc="0" locked="0" layoutInCell="1" allowOverlap="1" wp14:anchorId="306AAB00" wp14:editId="072EF82B">
                <wp:simplePos x="0" y="0"/>
                <wp:positionH relativeFrom="margin">
                  <wp:posOffset>25222</wp:posOffset>
                </wp:positionH>
                <wp:positionV relativeFrom="paragraph">
                  <wp:posOffset>377197</wp:posOffset>
                </wp:positionV>
                <wp:extent cx="6400800" cy="5055"/>
                <wp:effectExtent l="0" t="0" r="0" b="0"/>
                <wp:wrapTopAndBottom/>
                <wp:docPr id="9337" name="Group 9337"/>
                <wp:cNvGraphicFramePr/>
                <a:graphic xmlns:a="http://schemas.openxmlformats.org/drawingml/2006/main">
                  <a:graphicData uri="http://schemas.microsoft.com/office/word/2010/wordprocessingGroup">
                    <wpg:wgp>
                      <wpg:cNvGrpSpPr/>
                      <wpg:grpSpPr>
                        <a:xfrm>
                          <a:off x="0" y="0"/>
                          <a:ext cx="6400800" cy="5055"/>
                          <a:chOff x="0" y="0"/>
                          <a:chExt cx="6400800" cy="5055"/>
                        </a:xfrm>
                      </wpg:grpSpPr>
                      <wps:wsp>
                        <wps:cNvPr id="55" name="Shape 55"/>
                        <wps:cNvSpPr/>
                        <wps:spPr>
                          <a:xfrm>
                            <a:off x="0" y="0"/>
                            <a:ext cx="6400800" cy="0"/>
                          </a:xfrm>
                          <a:custGeom>
                            <a:avLst/>
                            <a:gdLst/>
                            <a:ahLst/>
                            <a:cxnLst/>
                            <a:rect l="0" t="0" r="0" b="0"/>
                            <a:pathLst>
                              <a:path w="6400800">
                                <a:moveTo>
                                  <a:pt x="0" y="0"/>
                                </a:moveTo>
                                <a:lnTo>
                                  <a:pt x="6400800" y="0"/>
                                </a:lnTo>
                              </a:path>
                            </a:pathLst>
                          </a:custGeom>
                          <a:ln w="505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337" style="width:504pt;height:0.398pt;position:absolute;mso-position-horizontal-relative:margin;mso-position-horizontal:absolute;margin-left:1.98601pt;mso-position-vertical-relative:text;margin-top:29.7006pt;" coordsize="64008,50">
                <v:shape id="Shape 55" style="position:absolute;width:64008;height:0;left:0;top:0;" coordsize="6400800,0" path="m0,0l6400800,0">
                  <v:stroke weight="0.398pt" endcap="flat" joinstyle="miter" miterlimit="10" on="true" color="#000000"/>
                  <v:fill on="false" color="#000000" opacity="0"/>
                </v:shape>
                <w10:wrap type="topAndBottom"/>
              </v:group>
            </w:pict>
          </mc:Fallback>
        </mc:AlternateContent>
      </w:r>
      <w:r>
        <w:rPr>
          <w:i/>
          <w:sz w:val="18"/>
        </w:rPr>
        <w:t>predictive modeling</w:t>
      </w:r>
    </w:p>
    <w:p w14:paraId="2EB94F5F" w14:textId="77777777" w:rsidR="005F5683" w:rsidRDefault="00C75C6D">
      <w:pPr>
        <w:pStyle w:val="Heading1"/>
        <w:spacing w:before="539"/>
        <w:ind w:left="17" w:right="2"/>
      </w:pPr>
      <w:r>
        <w:rPr>
          <w:sz w:val="18"/>
        </w:rPr>
        <w:t>1. I</w:t>
      </w:r>
      <w:r>
        <w:t>NTRODUCTION</w:t>
      </w:r>
    </w:p>
    <w:p w14:paraId="1626AB75" w14:textId="77777777" w:rsidR="005F5683" w:rsidRDefault="00C75C6D">
      <w:pPr>
        <w:spacing w:after="0"/>
        <w:ind w:left="23" w:right="15"/>
      </w:pPr>
      <w:r>
        <w:t>Forests cover roughly thirty percent of the Earth’s land surface and host the majority of terrestrial biodiversity, yet the world continues to lose forest at an alarming rate. The Food and Agriculture Organization estimates that approximately ten million hectares of forest are cleared annually, with tropical regions bearing the greatest share of this loss. Deforestation is closely linked to biodiversity decline: habitat fragmentation isolates species populations, disrupts migration corridors, and accelerate</w:t>
      </w:r>
      <w:r>
        <w:t>s extinction risk, particularly for endemic and specialist species with narrow ecological niches.</w:t>
      </w:r>
    </w:p>
    <w:p w14:paraId="648C66F7" w14:textId="77777777" w:rsidR="005F5683" w:rsidRDefault="00C75C6D">
      <w:pPr>
        <w:spacing w:after="0"/>
        <w:ind w:left="20" w:right="15" w:firstLine="199"/>
      </w:pPr>
      <w:r>
        <w:t>Historically, conservation science has depended on groundbased surveys, aerial photography, and periodic satellite snapshots analyzed manually by trained specialists. These methods, while valuable, are labor-intensive, spatially limited, and often produce findings only after significant damage has already occurred. The emergence of high-resolution satellite constellations, cloud computing, and machine learning has created an opportunity to transform environmental monitoring from a reactive, retrospective ac</w:t>
      </w:r>
      <w:r>
        <w:t>tivity into a proactive, near-real-time discipline.</w:t>
      </w:r>
    </w:p>
    <w:p w14:paraId="79570C29" w14:textId="77777777" w:rsidR="005F5683" w:rsidRDefault="00C75C6D">
      <w:pPr>
        <w:spacing w:after="0"/>
        <w:ind w:left="20" w:right="15" w:firstLine="206"/>
      </w:pPr>
      <w:r>
        <w:t>This paper surveys how data science is applied across three interconnected problems in conservation: (1) detecting and quantifying deforestation as it happens, (2) modeling and predicting biodiversity loss in response to habitat change, and (3) optimizing the allocation of scarce conservation resources. It synthesizes findings from the academic literature, examines widely used open datasets and platforms, and presents illustrative case studies. The paper closes with a discussion of methodological limitation</w:t>
      </w:r>
      <w:r>
        <w:t>s and the broader socio-political context required for data science to translate into effective conservation outcomes.</w:t>
      </w:r>
    </w:p>
    <w:p w14:paraId="1B7A7975" w14:textId="77777777" w:rsidR="005F5683" w:rsidRDefault="00C75C6D">
      <w:pPr>
        <w:spacing w:after="0"/>
        <w:ind w:left="20" w:right="15" w:firstLine="199"/>
      </w:pPr>
      <w:r>
        <w:t>The central questions guiding this review are: (i) which data science methods are currently most effective for detecting and forecasting forest loss; (ii) how reliably can these methods be linked to measurable biodiversity outcomes; and (iii) under what institutional conditions do technical advances actually reduce deforestation? The scope is deliberately interdisciplinary, drawing on remote sensing, ecology, computer science, economics, and environmental governance, because neither the causes of forest los</w:t>
      </w:r>
      <w:r>
        <w:t>s nor the conditions for its reversal can be understood from a single disciplinary perspective.</w:t>
      </w:r>
    </w:p>
    <w:p w14:paraId="44923B05" w14:textId="77777777" w:rsidR="005F5683" w:rsidRDefault="00C75C6D">
      <w:pPr>
        <w:spacing w:after="219"/>
        <w:ind w:left="20" w:right="15" w:firstLine="206"/>
      </w:pPr>
      <w:r>
        <w:t>The remainder of the paper is organized as follows. Section 2 outlines the drivers of deforestation, the ecological consequences of habitat loss, and the climate and policy context in which monitoring takes place. Section 3 describes the principal data sources and their practical limitations. Section 4 reviews the main families of data science methods, including emerging techniques and approaches to validation. Section 5 presents case studies from the Amazon, the Congo Basin, Southeast Asia, and India. Sect</w:t>
      </w:r>
      <w:r>
        <w:t>ion 6 discusses strengths, limitations, ethical considerations, and future directions, and Section 7 concludes.</w:t>
      </w:r>
    </w:p>
    <w:p w14:paraId="38EF0D87" w14:textId="77777777" w:rsidR="005F5683" w:rsidRDefault="00C75C6D">
      <w:pPr>
        <w:pStyle w:val="Heading1"/>
        <w:ind w:left="17" w:right="34"/>
      </w:pPr>
      <w:r>
        <w:rPr>
          <w:sz w:val="18"/>
        </w:rPr>
        <w:lastRenderedPageBreak/>
        <w:t>2. B</w:t>
      </w:r>
      <w:r>
        <w:t xml:space="preserve">ACKGROUND AND </w:t>
      </w:r>
      <w:r>
        <w:rPr>
          <w:sz w:val="18"/>
        </w:rPr>
        <w:t>P</w:t>
      </w:r>
      <w:r>
        <w:t xml:space="preserve">ROBLEM </w:t>
      </w:r>
      <w:r>
        <w:rPr>
          <w:sz w:val="18"/>
        </w:rPr>
        <w:t>C</w:t>
      </w:r>
      <w:r>
        <w:t>ONTEXT</w:t>
      </w:r>
    </w:p>
    <w:p w14:paraId="45E6BE4C" w14:textId="77777777" w:rsidR="005F5683" w:rsidRDefault="00C75C6D">
      <w:pPr>
        <w:spacing w:after="69" w:line="259" w:lineRule="auto"/>
        <w:ind w:left="35" w:right="0" w:hanging="10"/>
        <w:jc w:val="left"/>
      </w:pPr>
      <w:r>
        <w:rPr>
          <w:i/>
          <w:sz w:val="18"/>
        </w:rPr>
        <w:t>2.1 Drivers of Deforestation</w:t>
      </w:r>
    </w:p>
    <w:p w14:paraId="401F43AC" w14:textId="77777777" w:rsidR="005F5683" w:rsidRDefault="00C75C6D">
      <w:pPr>
        <w:ind w:left="23" w:right="15"/>
      </w:pPr>
      <w:r>
        <w:t>Deforestation is driven by a combination of direct and underlying causes. Direct drivers include the conversion of forest to agricultural land (notably for cattle ranching, soy, and palm oil production), logging (both legal and illegal), mining, and infrastructure expansion such as roads and dams. Underlying drivers include population growth, commodity market demand, weak land-tenure institutions, and, increasingly, climate feedback effects such as drought-driven fire. The relative importance of these drive</w:t>
      </w:r>
      <w:r>
        <w:t>rs varies substantially by region: cattle ranching dominates in the Brazilian Amazon, palm oil expansion is a leading driver in Indonesia and Malaysia, and small-scale agriculture and charcoal production are significant contributors in parts of the Congo Basin and East Africa.</w:t>
      </w:r>
    </w:p>
    <w:p w14:paraId="0A740411" w14:textId="77777777" w:rsidR="005F5683" w:rsidRDefault="00C75C6D">
      <w:pPr>
        <w:spacing w:after="69" w:line="259" w:lineRule="auto"/>
        <w:ind w:left="35" w:right="0" w:hanging="10"/>
        <w:jc w:val="left"/>
      </w:pPr>
      <w:r>
        <w:rPr>
          <w:i/>
          <w:sz w:val="18"/>
        </w:rPr>
        <w:t>2.2 Biodiversity Loss as a Consequence</w:t>
      </w:r>
    </w:p>
    <w:p w14:paraId="1FCCA6D7" w14:textId="77777777" w:rsidR="005F5683" w:rsidRDefault="00C75C6D">
      <w:pPr>
        <w:ind w:left="23" w:right="15"/>
      </w:pPr>
      <w:r>
        <w:t>Habitat loss is widely regarded as the single largest contributor to global biodiversity decline, ahead of overexploitation, pollution, invasive species, and direct climate impacts, although these pressures frequently compound one another. The relationship between forest loss and species decline is not linear: species-area relationships suggest that biodiversity loss can lag behind habitat clearance, producing an “extinction debt” in which species persist temporarily in fragmented habitat before local popul</w:t>
      </w:r>
      <w:r>
        <w:t>ations eventually collapse. This lag effect makes early detection and predictive modeling especially valuable, since interventions applied while extinction debt is still being accrued can prevent losses that would otherwise be locked in.</w:t>
      </w:r>
    </w:p>
    <w:p w14:paraId="09295575" w14:textId="77777777" w:rsidR="005F5683" w:rsidRDefault="00C75C6D">
      <w:pPr>
        <w:spacing w:after="69" w:line="259" w:lineRule="auto"/>
        <w:ind w:left="35" w:right="0" w:hanging="10"/>
        <w:jc w:val="left"/>
      </w:pPr>
      <w:r>
        <w:rPr>
          <w:i/>
          <w:sz w:val="18"/>
        </w:rPr>
        <w:t>2.3 The Case for Data Science</w:t>
      </w:r>
    </w:p>
    <w:p w14:paraId="11C02AB2" w14:textId="77777777" w:rsidR="005F5683" w:rsidRDefault="00C75C6D">
      <w:pPr>
        <w:ind w:left="23" w:right="15"/>
      </w:pPr>
      <w:r>
        <w:t>Conservation decision-making requires answering questions that are fundamentally about pattern detection and prediction over large, heterogeneous spatial datasets: Where is forest loss occurring right now? Which areas are at highest risk of clearance in the next one to five years? Which species and habitats are most vulnerable to a given pattern of fragmentation? Which interventions, given limited budgets, will produce the greatest conservation return? These are precisely the kinds of problems for which dat</w:t>
      </w:r>
      <w:r>
        <w:t>a science techniques, including classification, regression, time-series forecasting, and optimization, are well suited.</w:t>
      </w:r>
    </w:p>
    <w:p w14:paraId="1432A331" w14:textId="77777777" w:rsidR="005F5683" w:rsidRDefault="00C75C6D">
      <w:pPr>
        <w:spacing w:after="69" w:line="259" w:lineRule="auto"/>
        <w:ind w:left="35" w:right="0" w:hanging="10"/>
        <w:jc w:val="left"/>
      </w:pPr>
      <w:r>
        <w:rPr>
          <w:i/>
          <w:sz w:val="18"/>
        </w:rPr>
        <w:t>2.4 Climate and Ecosystem Services Dimension</w:t>
      </w:r>
    </w:p>
    <w:p w14:paraId="75AB4EF0" w14:textId="77777777" w:rsidR="005F5683" w:rsidRDefault="00C75C6D">
      <w:pPr>
        <w:ind w:left="23" w:right="15"/>
      </w:pPr>
      <w:r>
        <w:t xml:space="preserve">Forests are not only reservoirs of biodiversity but also major stores of terrestrial carbon, regulators of regional rainfall and local temperature, and providers of services such as watershed protection, soil stabilization, and pollination support for adjacent agricultural land. Clearing and burning forest releases stored carbon to the atmosphere, so deforestation is a significant contributor to anthropogenic </w:t>
      </w:r>
      <w:r>
        <w:t>greenhouse-gas emissions, and the resulting climate change in turn increases drought, fire, and heat stress in the remaining forest. In some large tropical forests, the combination of clearing, fragmentation, and a drier climate raises concern about feedbacks in which degraded forest becomes progressively more flammable and less able to recycle moisture. These linkages mean that forest monitoring serves climate mitigation objectives and biodiversity objectives simultaneously, and that data products develope</w:t>
      </w:r>
      <w:r>
        <w:t>d for one purpose, such as carbon accounting, are frequently reused for the other.</w:t>
      </w:r>
    </w:p>
    <w:p w14:paraId="4800399C" w14:textId="77777777" w:rsidR="005F5683" w:rsidRDefault="00C75C6D">
      <w:pPr>
        <w:spacing w:after="69" w:line="259" w:lineRule="auto"/>
        <w:ind w:left="35" w:right="0" w:hanging="10"/>
        <w:jc w:val="left"/>
      </w:pPr>
      <w:r>
        <w:rPr>
          <w:i/>
          <w:sz w:val="18"/>
        </w:rPr>
        <w:t>2.5 Policy and Governance Landscape</w:t>
      </w:r>
    </w:p>
    <w:p w14:paraId="4BAEE937" w14:textId="77777777" w:rsidR="005F5683" w:rsidRDefault="00C75C6D">
      <w:pPr>
        <w:spacing w:after="221"/>
        <w:ind w:left="23" w:right="15"/>
      </w:pPr>
      <w:r>
        <w:t xml:space="preserve">Monitoring data are valuable largely because they feed into a layered set of international, national, and private-sector commitments. At the international level, these include the Paris Agreement and associated REDD+ mechanisms (Reducing Emissions from Deforestation and forest Degradation), which provide results-based incentives for avoided forest loss, the New York Declaration on Forests and the Glasgow Leaders’ Declaration on Forests and Land Use, which set collective ambitions to halt and reverse forest </w:t>
      </w:r>
      <w:r>
        <w:t>loss, and the KunmingMontreal Global Biodiversity Framework under the Convention on Biological Diversity, which includes a target to effectively conserve and manage at least thirty percent of land and sea areas. At the national level, countries operate forest inventories, protected-area networks, and enforcement agencies, while import-side measures such as the European Union’s deforestation regulation seek to exclude commodities linked to recent forest clearance from major markets; the application timetable</w:t>
      </w:r>
      <w:r>
        <w:t xml:space="preserve"> of that regulation has been subject to revision. Each of these instruments requires verifiable, spatially explicit evidence of forest change, which is a principal reason that satellite-derived monitoring has moved from a research activity into an operational requirement.</w:t>
      </w:r>
    </w:p>
    <w:p w14:paraId="1035D121" w14:textId="77777777" w:rsidR="005F5683" w:rsidRDefault="00C75C6D">
      <w:pPr>
        <w:pStyle w:val="Heading1"/>
        <w:ind w:left="17" w:right="34"/>
      </w:pPr>
      <w:r>
        <w:rPr>
          <w:sz w:val="18"/>
        </w:rPr>
        <w:t>3. D</w:t>
      </w:r>
      <w:r>
        <w:t xml:space="preserve">ATA </w:t>
      </w:r>
      <w:r>
        <w:rPr>
          <w:sz w:val="18"/>
        </w:rPr>
        <w:t>S</w:t>
      </w:r>
      <w:r>
        <w:t xml:space="preserve">OURCES AND </w:t>
      </w:r>
      <w:r>
        <w:rPr>
          <w:sz w:val="18"/>
        </w:rPr>
        <w:t>I</w:t>
      </w:r>
      <w:r>
        <w:t>NFRASTRUCTURE</w:t>
      </w:r>
    </w:p>
    <w:p w14:paraId="7BA492E9" w14:textId="77777777" w:rsidR="005F5683" w:rsidRDefault="00C75C6D">
      <w:pPr>
        <w:spacing w:after="2"/>
        <w:ind w:left="23" w:right="15"/>
      </w:pPr>
      <w:r>
        <w:t>Modern conservation data science depends on a growing ecosystem of open and semi-open datasets. Satellite imagery from public missions provides the observational backbone, while species occurrence and ecological databases provide biodiversity outcome data against which models can be trained and validated. Table 1 summarizes several of the most widely used sources.</w:t>
      </w:r>
    </w:p>
    <w:p w14:paraId="73A4F020" w14:textId="77777777" w:rsidR="005F5683" w:rsidRDefault="00C75C6D">
      <w:pPr>
        <w:spacing w:after="24"/>
        <w:ind w:left="20" w:right="15" w:firstLine="199"/>
      </w:pPr>
      <w:r>
        <w:t xml:space="preserve">These sources are frequently combined: for example, radar imagery from Sentinel-1, which can penetrate cloud cover, is often fused with optical Sentinel-2 imagery to produce continuous monitoring in persistently cloudy tropical regions where optical-only approaches would have large observational gaps. Cloud computing platforms such as Google Earth Engine have been particularly influential because they allow researchers to run planetary-scale </w:t>
      </w:r>
      <w:r>
        <w:lastRenderedPageBreak/>
        <w:t>analyses without needing to download or locally store petabytes of raw imagery.</w:t>
      </w:r>
    </w:p>
    <w:p w14:paraId="199CE2A7" w14:textId="77777777" w:rsidR="005F5683" w:rsidRDefault="00C75C6D">
      <w:pPr>
        <w:spacing w:after="24"/>
        <w:ind w:left="20" w:right="15" w:firstLine="199"/>
      </w:pPr>
      <w:r>
        <w:t xml:space="preserve">Data preparation and quality. </w:t>
      </w:r>
      <w:r>
        <w:t>Raw satellite imagery cannot be used directly for analysis. Scenes must be corrected for atmospheric effects, geometrically aligned across acquisition dates, and screened for clouds, cloud shadow, and haze, which are particularly problematic in the humid tropics. Time-series approaches typically build cloud-free composites or use all available observations to model the expected seasonal signal of each pixel, flagging departures from that expectation as potential disturbance. Differences in sensor calibratio</w:t>
      </w:r>
      <w:r>
        <w:t>n between missions, such as Landsat and Sentinel-2, must also be reconciled when records are combined over long periods.</w:t>
      </w:r>
    </w:p>
    <w:p w14:paraId="32AFF138" w14:textId="77777777" w:rsidR="005F5683" w:rsidRDefault="00C75C6D">
      <w:pPr>
        <w:ind w:left="20" w:right="15" w:firstLine="199"/>
      </w:pPr>
      <w:r>
        <w:t xml:space="preserve">Reference data. </w:t>
      </w:r>
      <w:r>
        <w:t>Supervised models depend on labeled examples of forest, non-forest, and disturbance, and reference data are often the most expensive and least standardized component of a monitoring pipeline. Labels are commonly derived from visual interpretation of very-high-resolution imagery by trained analysts, from field plots, or from community observations. Label quality is uneven across regions, and a model trained on labels from well-surveyed areas may perform poorly elsewhere. Biodiversity datasets such as GBIF fa</w:t>
      </w:r>
      <w:r>
        <w:t>ce complementary issues: occurrence records are contributed by many observers using different protocols, vary in positional accuracy, and are concentrated near roads, cities, and research stations.</w:t>
      </w:r>
    </w:p>
    <w:tbl>
      <w:tblPr>
        <w:tblStyle w:val="TableGrid"/>
        <w:tblpPr w:vertAnchor="text" w:horzAnchor="margin"/>
        <w:tblOverlap w:val="never"/>
        <w:tblW w:w="10144" w:type="dxa"/>
        <w:tblInd w:w="0" w:type="dxa"/>
        <w:tblCellMar>
          <w:top w:w="0" w:type="dxa"/>
          <w:left w:w="0" w:type="dxa"/>
          <w:bottom w:w="5" w:type="dxa"/>
          <w:right w:w="3" w:type="dxa"/>
        </w:tblCellMar>
        <w:tblLook w:val="04A0" w:firstRow="1" w:lastRow="0" w:firstColumn="1" w:lastColumn="0" w:noHBand="0" w:noVBand="1"/>
      </w:tblPr>
      <w:tblGrid>
        <w:gridCol w:w="10144"/>
      </w:tblGrid>
      <w:tr w:rsidR="005F5683" w14:paraId="5255FCD4" w14:textId="77777777">
        <w:trPr>
          <w:trHeight w:val="190"/>
        </w:trPr>
        <w:tc>
          <w:tcPr>
            <w:tcW w:w="6781" w:type="dxa"/>
            <w:tcBorders>
              <w:top w:val="nil"/>
              <w:left w:val="nil"/>
              <w:bottom w:val="nil"/>
              <w:right w:val="nil"/>
            </w:tcBorders>
            <w:vAlign w:val="bottom"/>
          </w:tcPr>
          <w:p w14:paraId="22C5AEF0" w14:textId="77777777" w:rsidR="005F5683" w:rsidRDefault="00C75C6D">
            <w:pPr>
              <w:spacing w:after="0" w:line="259" w:lineRule="auto"/>
              <w:ind w:left="120" w:right="0" w:firstLine="0"/>
              <w:jc w:val="left"/>
            </w:pPr>
            <w:r>
              <w:rPr>
                <w:noProof/>
                <w:sz w:val="22"/>
              </w:rPr>
              <mc:AlternateContent>
                <mc:Choice Requires="wpg">
                  <w:drawing>
                    <wp:inline distT="0" distB="0" distL="0" distR="0" wp14:anchorId="2FF342F1" wp14:editId="225BEFAB">
                      <wp:extent cx="6287491" cy="10122"/>
                      <wp:effectExtent l="0" t="0" r="0" b="0"/>
                      <wp:docPr id="10620" name="Group 10620"/>
                      <wp:cNvGraphicFramePr/>
                      <a:graphic xmlns:a="http://schemas.openxmlformats.org/drawingml/2006/main">
                        <a:graphicData uri="http://schemas.microsoft.com/office/word/2010/wordprocessingGroup">
                          <wpg:wgp>
                            <wpg:cNvGrpSpPr/>
                            <wpg:grpSpPr>
                              <a:xfrm>
                                <a:off x="0" y="0"/>
                                <a:ext cx="6287491" cy="10122"/>
                                <a:chOff x="0" y="0"/>
                                <a:chExt cx="6287491" cy="10122"/>
                              </a:xfrm>
                            </wpg:grpSpPr>
                            <wps:wsp>
                              <wps:cNvPr id="276" name="Shape 276"/>
                              <wps:cNvSpPr/>
                              <wps:spPr>
                                <a:xfrm>
                                  <a:off x="0" y="0"/>
                                  <a:ext cx="6287491" cy="0"/>
                                </a:xfrm>
                                <a:custGeom>
                                  <a:avLst/>
                                  <a:gdLst/>
                                  <a:ahLst/>
                                  <a:cxnLst/>
                                  <a:rect l="0" t="0" r="0" b="0"/>
                                  <a:pathLst>
                                    <a:path w="6287491">
                                      <a:moveTo>
                                        <a:pt x="0" y="0"/>
                                      </a:moveTo>
                                      <a:lnTo>
                                        <a:pt x="6287491" y="0"/>
                                      </a:lnTo>
                                    </a:path>
                                  </a:pathLst>
                                </a:custGeom>
                                <a:ln w="10122"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620" style="width:495.078pt;height:0.797pt;mso-position-horizontal-relative:char;mso-position-vertical-relative:line" coordsize="62874,101">
                      <v:shape id="Shape 276" style="position:absolute;width:62874;height:0;left:0;top:0;" coordsize="6287491,0" path="m0,0l6287491,0">
                        <v:stroke weight="0.797pt" endcap="flat" joinstyle="miter" miterlimit="10" on="true" color="#000000"/>
                        <v:fill on="false" color="#000000" opacity="0"/>
                      </v:shape>
                    </v:group>
                  </w:pict>
                </mc:Fallback>
              </mc:AlternateContent>
            </w:r>
          </w:p>
          <w:tbl>
            <w:tblPr>
              <w:tblStyle w:val="TableGrid"/>
              <w:tblW w:w="10141" w:type="dxa"/>
              <w:tblInd w:w="0" w:type="dxa"/>
              <w:tblCellMar>
                <w:top w:w="30" w:type="dxa"/>
                <w:left w:w="0" w:type="dxa"/>
                <w:bottom w:w="0" w:type="dxa"/>
                <w:right w:w="115" w:type="dxa"/>
              </w:tblCellMar>
              <w:tblLook w:val="04A0" w:firstRow="1" w:lastRow="0" w:firstColumn="1" w:lastColumn="0" w:noHBand="0" w:noVBand="1"/>
            </w:tblPr>
            <w:tblGrid>
              <w:gridCol w:w="2281"/>
              <w:gridCol w:w="1600"/>
              <w:gridCol w:w="799"/>
              <w:gridCol w:w="3641"/>
              <w:gridCol w:w="1820"/>
            </w:tblGrid>
            <w:tr w:rsidR="005F5683" w14:paraId="0816159C" w14:textId="77777777">
              <w:trPr>
                <w:trHeight w:val="219"/>
              </w:trPr>
              <w:tc>
                <w:tcPr>
                  <w:tcW w:w="2280" w:type="dxa"/>
                  <w:tcBorders>
                    <w:top w:val="nil"/>
                    <w:left w:val="nil"/>
                    <w:bottom w:val="nil"/>
                    <w:right w:val="nil"/>
                  </w:tcBorders>
                  <w:shd w:val="clear" w:color="auto" w:fill="000000"/>
                </w:tcPr>
                <w:p w14:paraId="14D4EC81" w14:textId="77777777" w:rsidR="005F5683" w:rsidRDefault="00C75C6D">
                  <w:pPr>
                    <w:framePr w:wrap="around" w:vAnchor="text" w:hAnchor="margin"/>
                    <w:spacing w:after="0" w:line="259" w:lineRule="auto"/>
                    <w:ind w:left="120" w:right="0" w:firstLine="0"/>
                    <w:suppressOverlap/>
                    <w:jc w:val="left"/>
                  </w:pPr>
                  <w:r>
                    <w:rPr>
                      <w:color w:val="FFFFFF"/>
                      <w:sz w:val="18"/>
                    </w:rPr>
                    <w:t>Dataset / Platform</w:t>
                  </w:r>
                </w:p>
              </w:tc>
              <w:tc>
                <w:tcPr>
                  <w:tcW w:w="1600" w:type="dxa"/>
                  <w:tcBorders>
                    <w:top w:val="nil"/>
                    <w:left w:val="nil"/>
                    <w:bottom w:val="nil"/>
                    <w:right w:val="nil"/>
                  </w:tcBorders>
                  <w:shd w:val="clear" w:color="auto" w:fill="000000"/>
                </w:tcPr>
                <w:p w14:paraId="4781D6FF" w14:textId="77777777" w:rsidR="005F5683" w:rsidRDefault="00C75C6D">
                  <w:pPr>
                    <w:framePr w:wrap="around" w:vAnchor="text" w:hAnchor="margin"/>
                    <w:spacing w:after="0" w:line="259" w:lineRule="auto"/>
                    <w:ind w:left="6" w:right="0" w:firstLine="0"/>
                    <w:suppressOverlap/>
                    <w:jc w:val="left"/>
                  </w:pPr>
                  <w:r>
                    <w:rPr>
                      <w:color w:val="FFFFFF"/>
                      <w:sz w:val="18"/>
                    </w:rPr>
                    <w:t>Provider</w:t>
                  </w:r>
                </w:p>
              </w:tc>
              <w:tc>
                <w:tcPr>
                  <w:tcW w:w="799" w:type="dxa"/>
                  <w:tcBorders>
                    <w:top w:val="nil"/>
                    <w:left w:val="nil"/>
                    <w:bottom w:val="nil"/>
                    <w:right w:val="nil"/>
                  </w:tcBorders>
                  <w:shd w:val="clear" w:color="auto" w:fill="000000"/>
                </w:tcPr>
                <w:p w14:paraId="5B21CF13" w14:textId="77777777" w:rsidR="005F5683" w:rsidRDefault="005F5683">
                  <w:pPr>
                    <w:framePr w:wrap="around" w:vAnchor="text" w:hAnchor="margin"/>
                    <w:spacing w:after="160" w:line="259" w:lineRule="auto"/>
                    <w:ind w:left="0" w:right="0" w:firstLine="0"/>
                    <w:suppressOverlap/>
                    <w:jc w:val="left"/>
                  </w:pPr>
                </w:p>
              </w:tc>
              <w:tc>
                <w:tcPr>
                  <w:tcW w:w="3641" w:type="dxa"/>
                  <w:tcBorders>
                    <w:top w:val="nil"/>
                    <w:left w:val="nil"/>
                    <w:bottom w:val="nil"/>
                    <w:right w:val="nil"/>
                  </w:tcBorders>
                  <w:shd w:val="clear" w:color="auto" w:fill="000000"/>
                </w:tcPr>
                <w:p w14:paraId="3B11EEF5" w14:textId="77777777" w:rsidR="005F5683" w:rsidRDefault="00C75C6D">
                  <w:pPr>
                    <w:framePr w:wrap="around" w:vAnchor="text" w:hAnchor="margin"/>
                    <w:spacing w:after="0" w:line="259" w:lineRule="auto"/>
                    <w:ind w:left="0" w:right="0" w:firstLine="0"/>
                    <w:suppressOverlap/>
                    <w:jc w:val="left"/>
                  </w:pPr>
                  <w:r>
                    <w:rPr>
                      <w:color w:val="FFFFFF"/>
                      <w:sz w:val="18"/>
                    </w:rPr>
                    <w:t>Primary Use</w:t>
                  </w:r>
                </w:p>
              </w:tc>
              <w:tc>
                <w:tcPr>
                  <w:tcW w:w="1820" w:type="dxa"/>
                  <w:tcBorders>
                    <w:top w:val="nil"/>
                    <w:left w:val="nil"/>
                    <w:bottom w:val="nil"/>
                    <w:right w:val="nil"/>
                  </w:tcBorders>
                  <w:shd w:val="clear" w:color="auto" w:fill="000000"/>
                </w:tcPr>
                <w:p w14:paraId="3A090BCA" w14:textId="77777777" w:rsidR="005F5683" w:rsidRDefault="00C75C6D">
                  <w:pPr>
                    <w:framePr w:wrap="around" w:vAnchor="text" w:hAnchor="margin"/>
                    <w:spacing w:after="0" w:line="259" w:lineRule="auto"/>
                    <w:ind w:left="0" w:right="0" w:firstLine="0"/>
                    <w:suppressOverlap/>
                    <w:jc w:val="left"/>
                  </w:pPr>
                  <w:r>
                    <w:rPr>
                      <w:color w:val="FFFFFF"/>
                      <w:sz w:val="18"/>
                    </w:rPr>
                    <w:t>Approx. Resolution</w:t>
                  </w:r>
                </w:p>
              </w:tc>
            </w:tr>
          </w:tbl>
          <w:p w14:paraId="5247B140" w14:textId="77777777" w:rsidR="005F5683" w:rsidRDefault="00C75C6D">
            <w:pPr>
              <w:spacing w:after="0" w:line="259" w:lineRule="auto"/>
              <w:ind w:left="120" w:right="0" w:firstLine="0"/>
              <w:jc w:val="left"/>
            </w:pPr>
            <w:r>
              <w:rPr>
                <w:noProof/>
                <w:sz w:val="22"/>
              </w:rPr>
              <mc:AlternateContent>
                <mc:Choice Requires="wpg">
                  <w:drawing>
                    <wp:inline distT="0" distB="0" distL="0" distR="0" wp14:anchorId="3C063DFA" wp14:editId="568464E7">
                      <wp:extent cx="6287491" cy="6325"/>
                      <wp:effectExtent l="0" t="0" r="0" b="0"/>
                      <wp:docPr id="10621" name="Group 10621"/>
                      <wp:cNvGraphicFramePr/>
                      <a:graphic xmlns:a="http://schemas.openxmlformats.org/drawingml/2006/main">
                        <a:graphicData uri="http://schemas.microsoft.com/office/word/2010/wordprocessingGroup">
                          <wpg:wgp>
                            <wpg:cNvGrpSpPr/>
                            <wpg:grpSpPr>
                              <a:xfrm>
                                <a:off x="0" y="0"/>
                                <a:ext cx="6287491" cy="6325"/>
                                <a:chOff x="0" y="0"/>
                                <a:chExt cx="6287491" cy="6325"/>
                              </a:xfrm>
                            </wpg:grpSpPr>
                            <wps:wsp>
                              <wps:cNvPr id="285" name="Shape 285"/>
                              <wps:cNvSpPr/>
                              <wps:spPr>
                                <a:xfrm>
                                  <a:off x="0" y="0"/>
                                  <a:ext cx="6287491" cy="0"/>
                                </a:xfrm>
                                <a:custGeom>
                                  <a:avLst/>
                                  <a:gdLst/>
                                  <a:ahLst/>
                                  <a:cxnLst/>
                                  <a:rect l="0" t="0" r="0" b="0"/>
                                  <a:pathLst>
                                    <a:path w="6287491">
                                      <a:moveTo>
                                        <a:pt x="0" y="0"/>
                                      </a:moveTo>
                                      <a:lnTo>
                                        <a:pt x="6287491" y="0"/>
                                      </a:lnTo>
                                    </a:path>
                                  </a:pathLst>
                                </a:custGeom>
                                <a:ln w="632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621" style="width:495.078pt;height:0.498pt;mso-position-horizontal-relative:char;mso-position-vertical-relative:line" coordsize="62874,63">
                      <v:shape id="Shape 285" style="position:absolute;width:62874;height:0;left:0;top:0;" coordsize="6287491,0" path="m0,0l6287491,0">
                        <v:stroke weight="0.498pt" endcap="flat" joinstyle="miter" miterlimit="10" on="true" color="#000000"/>
                        <v:fill on="false" color="#000000" opacity="0"/>
                      </v:shape>
                    </v:group>
                  </w:pict>
                </mc:Fallback>
              </mc:AlternateContent>
            </w:r>
          </w:p>
          <w:tbl>
            <w:tblPr>
              <w:tblStyle w:val="TableGrid"/>
              <w:tblW w:w="9931" w:type="dxa"/>
              <w:tblInd w:w="120" w:type="dxa"/>
              <w:tblCellMar>
                <w:top w:w="0" w:type="dxa"/>
                <w:left w:w="0" w:type="dxa"/>
                <w:bottom w:w="0" w:type="dxa"/>
                <w:right w:w="0" w:type="dxa"/>
              </w:tblCellMar>
              <w:tblLook w:val="04A0" w:firstRow="1" w:lastRow="0" w:firstColumn="1" w:lastColumn="0" w:noHBand="0" w:noVBand="1"/>
            </w:tblPr>
            <w:tblGrid>
              <w:gridCol w:w="2161"/>
              <w:gridCol w:w="2399"/>
              <w:gridCol w:w="3641"/>
              <w:gridCol w:w="1131"/>
              <w:gridCol w:w="599"/>
            </w:tblGrid>
            <w:tr w:rsidR="005F5683" w14:paraId="5C8990EC" w14:textId="77777777">
              <w:trPr>
                <w:trHeight w:val="190"/>
              </w:trPr>
              <w:tc>
                <w:tcPr>
                  <w:tcW w:w="2161" w:type="dxa"/>
                  <w:tcBorders>
                    <w:top w:val="nil"/>
                    <w:left w:val="nil"/>
                    <w:bottom w:val="nil"/>
                    <w:right w:val="nil"/>
                  </w:tcBorders>
                </w:tcPr>
                <w:p w14:paraId="2367CB34" w14:textId="77777777" w:rsidR="005F5683" w:rsidRDefault="00C75C6D">
                  <w:pPr>
                    <w:framePr w:wrap="around" w:vAnchor="text" w:hAnchor="margin"/>
                    <w:spacing w:after="0" w:line="259" w:lineRule="auto"/>
                    <w:ind w:left="0" w:right="0" w:firstLine="0"/>
                    <w:suppressOverlap/>
                    <w:jc w:val="left"/>
                  </w:pPr>
                  <w:r>
                    <w:rPr>
                      <w:sz w:val="18"/>
                    </w:rPr>
                    <w:t>Landsat 8/9</w:t>
                  </w:r>
                </w:p>
              </w:tc>
              <w:tc>
                <w:tcPr>
                  <w:tcW w:w="2399" w:type="dxa"/>
                  <w:tcBorders>
                    <w:top w:val="nil"/>
                    <w:left w:val="nil"/>
                    <w:bottom w:val="nil"/>
                    <w:right w:val="nil"/>
                  </w:tcBorders>
                </w:tcPr>
                <w:p w14:paraId="5FEB5365" w14:textId="77777777" w:rsidR="005F5683" w:rsidRDefault="00C75C6D">
                  <w:pPr>
                    <w:framePr w:wrap="around" w:vAnchor="text" w:hAnchor="margin"/>
                    <w:spacing w:after="0" w:line="259" w:lineRule="auto"/>
                    <w:ind w:left="6" w:right="0" w:firstLine="0"/>
                    <w:suppressOverlap/>
                    <w:jc w:val="left"/>
                  </w:pPr>
                  <w:r>
                    <w:rPr>
                      <w:sz w:val="18"/>
                    </w:rPr>
                    <w:t>USGS / NASA</w:t>
                  </w:r>
                </w:p>
              </w:tc>
              <w:tc>
                <w:tcPr>
                  <w:tcW w:w="3641" w:type="dxa"/>
                  <w:tcBorders>
                    <w:top w:val="nil"/>
                    <w:left w:val="nil"/>
                    <w:bottom w:val="nil"/>
                    <w:right w:val="nil"/>
                  </w:tcBorders>
                </w:tcPr>
                <w:p w14:paraId="61EB2ACC" w14:textId="77777777" w:rsidR="005F5683" w:rsidRDefault="00C75C6D">
                  <w:pPr>
                    <w:framePr w:wrap="around" w:vAnchor="text" w:hAnchor="margin"/>
                    <w:spacing w:after="0" w:line="259" w:lineRule="auto"/>
                    <w:ind w:left="0" w:right="0" w:firstLine="0"/>
                    <w:suppressOverlap/>
                    <w:jc w:val="left"/>
                  </w:pPr>
                  <w:r>
                    <w:rPr>
                      <w:sz w:val="18"/>
                    </w:rPr>
                    <w:t>Long-term land-cover change detection</w:t>
                  </w:r>
                </w:p>
              </w:tc>
              <w:tc>
                <w:tcPr>
                  <w:tcW w:w="1131" w:type="dxa"/>
                  <w:tcBorders>
                    <w:top w:val="nil"/>
                    <w:left w:val="nil"/>
                    <w:bottom w:val="nil"/>
                    <w:right w:val="nil"/>
                  </w:tcBorders>
                </w:tcPr>
                <w:p w14:paraId="15D5BD89" w14:textId="77777777" w:rsidR="005F5683" w:rsidRDefault="00C75C6D">
                  <w:pPr>
                    <w:framePr w:wrap="around" w:vAnchor="text" w:hAnchor="margin"/>
                    <w:spacing w:after="0" w:line="259" w:lineRule="auto"/>
                    <w:ind w:left="0" w:right="0" w:firstLine="0"/>
                    <w:suppressOverlap/>
                    <w:jc w:val="left"/>
                  </w:pPr>
                  <w:r>
                    <w:rPr>
                      <w:sz w:val="18"/>
                    </w:rPr>
                    <w:t>30 m</w:t>
                  </w:r>
                </w:p>
              </w:tc>
              <w:tc>
                <w:tcPr>
                  <w:tcW w:w="599" w:type="dxa"/>
                  <w:tcBorders>
                    <w:top w:val="nil"/>
                    <w:left w:val="nil"/>
                    <w:bottom w:val="nil"/>
                    <w:right w:val="nil"/>
                  </w:tcBorders>
                </w:tcPr>
                <w:p w14:paraId="43D4FA0D" w14:textId="77777777" w:rsidR="005F5683" w:rsidRDefault="005F5683">
                  <w:pPr>
                    <w:framePr w:wrap="around" w:vAnchor="text" w:hAnchor="margin"/>
                    <w:spacing w:after="160" w:line="259" w:lineRule="auto"/>
                    <w:ind w:left="0" w:right="0" w:firstLine="0"/>
                    <w:suppressOverlap/>
                    <w:jc w:val="left"/>
                  </w:pPr>
                </w:p>
              </w:tc>
            </w:tr>
            <w:tr w:rsidR="005F5683" w14:paraId="6403AF49" w14:textId="77777777">
              <w:trPr>
                <w:trHeight w:val="432"/>
              </w:trPr>
              <w:tc>
                <w:tcPr>
                  <w:tcW w:w="2161" w:type="dxa"/>
                  <w:tcBorders>
                    <w:top w:val="nil"/>
                    <w:left w:val="nil"/>
                    <w:bottom w:val="nil"/>
                    <w:right w:val="nil"/>
                  </w:tcBorders>
                </w:tcPr>
                <w:p w14:paraId="2489A386" w14:textId="77777777" w:rsidR="005F5683" w:rsidRDefault="00C75C6D">
                  <w:pPr>
                    <w:framePr w:wrap="around" w:vAnchor="text" w:hAnchor="margin"/>
                    <w:spacing w:after="0" w:line="259" w:lineRule="auto"/>
                    <w:ind w:left="0" w:right="0" w:firstLine="0"/>
                    <w:suppressOverlap/>
                    <w:jc w:val="left"/>
                  </w:pPr>
                  <w:r>
                    <w:rPr>
                      <w:sz w:val="18"/>
                    </w:rPr>
                    <w:t>Sentinel-1 &amp; 2</w:t>
                  </w:r>
                </w:p>
              </w:tc>
              <w:tc>
                <w:tcPr>
                  <w:tcW w:w="2399" w:type="dxa"/>
                  <w:tcBorders>
                    <w:top w:val="nil"/>
                    <w:left w:val="nil"/>
                    <w:bottom w:val="nil"/>
                    <w:right w:val="nil"/>
                  </w:tcBorders>
                </w:tcPr>
                <w:p w14:paraId="4F5313D6" w14:textId="77777777" w:rsidR="005F5683" w:rsidRDefault="00C75C6D">
                  <w:pPr>
                    <w:framePr w:wrap="around" w:vAnchor="text" w:hAnchor="margin"/>
                    <w:tabs>
                      <w:tab w:val="center" w:pos="1154"/>
                      <w:tab w:val="center" w:pos="1883"/>
                    </w:tabs>
                    <w:spacing w:after="0" w:line="259" w:lineRule="auto"/>
                    <w:ind w:left="0" w:right="0" w:firstLine="0"/>
                    <w:suppressOverlap/>
                    <w:jc w:val="left"/>
                  </w:pPr>
                  <w:r>
                    <w:rPr>
                      <w:sz w:val="18"/>
                    </w:rPr>
                    <w:t>European</w:t>
                  </w:r>
                  <w:r>
                    <w:rPr>
                      <w:sz w:val="18"/>
                    </w:rPr>
                    <w:tab/>
                    <w:t>Space</w:t>
                  </w:r>
                  <w:r>
                    <w:rPr>
                      <w:sz w:val="18"/>
                    </w:rPr>
                    <w:tab/>
                    <w:t>Agency</w:t>
                  </w:r>
                </w:p>
                <w:p w14:paraId="412CCF82" w14:textId="77777777" w:rsidR="005F5683" w:rsidRDefault="00C75C6D">
                  <w:pPr>
                    <w:framePr w:wrap="around" w:vAnchor="text" w:hAnchor="margin"/>
                    <w:spacing w:after="0" w:line="259" w:lineRule="auto"/>
                    <w:ind w:left="0" w:right="0" w:firstLine="0"/>
                    <w:suppressOverlap/>
                    <w:jc w:val="left"/>
                  </w:pPr>
                  <w:r>
                    <w:rPr>
                      <w:sz w:val="18"/>
                    </w:rPr>
                    <w:t>(Copernicus)</w:t>
                  </w:r>
                </w:p>
              </w:tc>
              <w:tc>
                <w:tcPr>
                  <w:tcW w:w="3641" w:type="dxa"/>
                  <w:tcBorders>
                    <w:top w:val="nil"/>
                    <w:left w:val="nil"/>
                    <w:bottom w:val="nil"/>
                    <w:right w:val="nil"/>
                  </w:tcBorders>
                </w:tcPr>
                <w:p w14:paraId="6F21951A" w14:textId="77777777" w:rsidR="005F5683" w:rsidRDefault="00C75C6D">
                  <w:pPr>
                    <w:framePr w:wrap="around" w:vAnchor="text" w:hAnchor="margin"/>
                    <w:spacing w:after="0" w:line="259" w:lineRule="auto"/>
                    <w:ind w:left="0" w:right="0" w:firstLine="0"/>
                    <w:suppressOverlap/>
                    <w:jc w:val="left"/>
                  </w:pPr>
                  <w:r>
                    <w:rPr>
                      <w:sz w:val="18"/>
                    </w:rPr>
                    <w:t>Radar (cloud-penetrating) and optical forest monitoring</w:t>
                  </w:r>
                </w:p>
              </w:tc>
              <w:tc>
                <w:tcPr>
                  <w:tcW w:w="1131" w:type="dxa"/>
                  <w:tcBorders>
                    <w:top w:val="nil"/>
                    <w:left w:val="nil"/>
                    <w:bottom w:val="nil"/>
                    <w:right w:val="nil"/>
                  </w:tcBorders>
                </w:tcPr>
                <w:p w14:paraId="7661EF58" w14:textId="77777777" w:rsidR="005F5683" w:rsidRDefault="00C75C6D">
                  <w:pPr>
                    <w:framePr w:wrap="around" w:vAnchor="text" w:hAnchor="margin"/>
                    <w:spacing w:after="0" w:line="259" w:lineRule="auto"/>
                    <w:ind w:left="0" w:right="0" w:firstLine="0"/>
                    <w:suppressOverlap/>
                    <w:jc w:val="left"/>
                  </w:pPr>
                  <w:r>
                    <w:rPr>
                      <w:sz w:val="18"/>
                    </w:rPr>
                    <w:t>10–20 m</w:t>
                  </w:r>
                </w:p>
              </w:tc>
              <w:tc>
                <w:tcPr>
                  <w:tcW w:w="599" w:type="dxa"/>
                  <w:tcBorders>
                    <w:top w:val="nil"/>
                    <w:left w:val="nil"/>
                    <w:bottom w:val="nil"/>
                    <w:right w:val="nil"/>
                  </w:tcBorders>
                </w:tcPr>
                <w:p w14:paraId="2627E833" w14:textId="77777777" w:rsidR="005F5683" w:rsidRDefault="005F5683">
                  <w:pPr>
                    <w:framePr w:wrap="around" w:vAnchor="text" w:hAnchor="margin"/>
                    <w:spacing w:after="160" w:line="259" w:lineRule="auto"/>
                    <w:ind w:left="0" w:right="0" w:firstLine="0"/>
                    <w:suppressOverlap/>
                    <w:jc w:val="left"/>
                  </w:pPr>
                </w:p>
              </w:tc>
            </w:tr>
            <w:tr w:rsidR="005F5683" w14:paraId="2D3B402C" w14:textId="77777777">
              <w:trPr>
                <w:trHeight w:val="445"/>
              </w:trPr>
              <w:tc>
                <w:tcPr>
                  <w:tcW w:w="2161" w:type="dxa"/>
                  <w:tcBorders>
                    <w:top w:val="nil"/>
                    <w:left w:val="nil"/>
                    <w:bottom w:val="nil"/>
                    <w:right w:val="nil"/>
                  </w:tcBorders>
                </w:tcPr>
                <w:p w14:paraId="7C687DA6" w14:textId="77777777" w:rsidR="005F5683" w:rsidRDefault="00C75C6D">
                  <w:pPr>
                    <w:framePr w:wrap="around" w:vAnchor="text" w:hAnchor="margin"/>
                    <w:spacing w:after="0" w:line="259" w:lineRule="auto"/>
                    <w:ind w:left="0" w:right="0" w:firstLine="0"/>
                    <w:suppressOverlap/>
                    <w:jc w:val="left"/>
                  </w:pPr>
                  <w:r>
                    <w:rPr>
                      <w:sz w:val="18"/>
                    </w:rPr>
                    <w:t>Global Forest Watch</w:t>
                  </w:r>
                </w:p>
              </w:tc>
              <w:tc>
                <w:tcPr>
                  <w:tcW w:w="2399" w:type="dxa"/>
                  <w:tcBorders>
                    <w:top w:val="nil"/>
                    <w:left w:val="nil"/>
                    <w:bottom w:val="nil"/>
                    <w:right w:val="nil"/>
                  </w:tcBorders>
                </w:tcPr>
                <w:p w14:paraId="4FA94C5B" w14:textId="77777777" w:rsidR="005F5683" w:rsidRDefault="00C75C6D">
                  <w:pPr>
                    <w:framePr w:wrap="around" w:vAnchor="text" w:hAnchor="margin"/>
                    <w:spacing w:after="0" w:line="259" w:lineRule="auto"/>
                    <w:ind w:left="6" w:right="0" w:firstLine="0"/>
                    <w:suppressOverlap/>
                    <w:jc w:val="left"/>
                  </w:pPr>
                  <w:r>
                    <w:rPr>
                      <w:sz w:val="18"/>
                    </w:rPr>
                    <w:t>World Resources Institute</w:t>
                  </w:r>
                </w:p>
              </w:tc>
              <w:tc>
                <w:tcPr>
                  <w:tcW w:w="3641" w:type="dxa"/>
                  <w:tcBorders>
                    <w:top w:val="nil"/>
                    <w:left w:val="nil"/>
                    <w:bottom w:val="nil"/>
                    <w:right w:val="nil"/>
                  </w:tcBorders>
                </w:tcPr>
                <w:p w14:paraId="2CE30D0F" w14:textId="77777777" w:rsidR="005F5683" w:rsidRDefault="00C75C6D">
                  <w:pPr>
                    <w:framePr w:wrap="around" w:vAnchor="text" w:hAnchor="margin"/>
                    <w:spacing w:after="0" w:line="259" w:lineRule="auto"/>
                    <w:ind w:left="0" w:right="0" w:firstLine="0"/>
                    <w:suppressOverlap/>
                    <w:jc w:val="left"/>
                  </w:pPr>
                  <w:r>
                    <w:rPr>
                      <w:sz w:val="18"/>
                    </w:rPr>
                    <w:t>Near-real-time deforestation alerts</w:t>
                  </w:r>
                </w:p>
              </w:tc>
              <w:tc>
                <w:tcPr>
                  <w:tcW w:w="1131" w:type="dxa"/>
                  <w:tcBorders>
                    <w:top w:val="nil"/>
                    <w:left w:val="nil"/>
                    <w:bottom w:val="nil"/>
                    <w:right w:val="nil"/>
                  </w:tcBorders>
                </w:tcPr>
                <w:p w14:paraId="1D78D5AA" w14:textId="77777777" w:rsidR="005F5683" w:rsidRDefault="00C75C6D">
                  <w:pPr>
                    <w:framePr w:wrap="around" w:vAnchor="text" w:hAnchor="margin"/>
                    <w:tabs>
                      <w:tab w:val="center" w:pos="866"/>
                    </w:tabs>
                    <w:spacing w:after="0" w:line="259" w:lineRule="auto"/>
                    <w:ind w:left="0" w:right="0" w:firstLine="0"/>
                    <w:suppressOverlap/>
                    <w:jc w:val="left"/>
                  </w:pPr>
                  <w:r>
                    <w:rPr>
                      <w:rFonts w:ascii="Cambria" w:eastAsia="Cambria" w:hAnsi="Cambria" w:cs="Cambria"/>
                      <w:sz w:val="18"/>
                    </w:rPr>
                    <w:t>∼</w:t>
                  </w:r>
                  <w:r>
                    <w:rPr>
                      <w:sz w:val="18"/>
                    </w:rPr>
                    <w:t>10–30</w:t>
                  </w:r>
                  <w:r>
                    <w:rPr>
                      <w:sz w:val="18"/>
                    </w:rPr>
                    <w:tab/>
                    <w:t>m</w:t>
                  </w:r>
                </w:p>
                <w:p w14:paraId="3FA98CBC" w14:textId="77777777" w:rsidR="005F5683" w:rsidRDefault="00C75C6D">
                  <w:pPr>
                    <w:framePr w:wrap="around" w:vAnchor="text" w:hAnchor="margin"/>
                    <w:spacing w:after="0" w:line="259" w:lineRule="auto"/>
                    <w:ind w:left="0" w:right="0" w:firstLine="0"/>
                    <w:suppressOverlap/>
                    <w:jc w:val="left"/>
                  </w:pPr>
                  <w:r>
                    <w:rPr>
                      <w:sz w:val="18"/>
                    </w:rPr>
                    <w:t>dependent)</w:t>
                  </w:r>
                </w:p>
              </w:tc>
              <w:tc>
                <w:tcPr>
                  <w:tcW w:w="599" w:type="dxa"/>
                  <w:tcBorders>
                    <w:top w:val="nil"/>
                    <w:left w:val="nil"/>
                    <w:bottom w:val="nil"/>
                    <w:right w:val="nil"/>
                  </w:tcBorders>
                </w:tcPr>
                <w:p w14:paraId="6688E80E" w14:textId="77777777" w:rsidR="005F5683" w:rsidRDefault="00C75C6D">
                  <w:pPr>
                    <w:framePr w:wrap="around" w:vAnchor="text" w:hAnchor="margin"/>
                    <w:spacing w:after="0" w:line="259" w:lineRule="auto"/>
                    <w:ind w:left="0" w:right="0" w:firstLine="0"/>
                    <w:suppressOverlap/>
                  </w:pPr>
                  <w:r>
                    <w:rPr>
                      <w:sz w:val="18"/>
                    </w:rPr>
                    <w:t>(source-</w:t>
                  </w:r>
                </w:p>
              </w:tc>
            </w:tr>
            <w:tr w:rsidR="005F5683" w14:paraId="5749E433" w14:textId="77777777">
              <w:trPr>
                <w:trHeight w:val="438"/>
              </w:trPr>
              <w:tc>
                <w:tcPr>
                  <w:tcW w:w="2161" w:type="dxa"/>
                  <w:tcBorders>
                    <w:top w:val="nil"/>
                    <w:left w:val="nil"/>
                    <w:bottom w:val="nil"/>
                    <w:right w:val="nil"/>
                  </w:tcBorders>
                </w:tcPr>
                <w:p w14:paraId="55199EB7" w14:textId="77777777" w:rsidR="005F5683" w:rsidRDefault="00C75C6D">
                  <w:pPr>
                    <w:framePr w:wrap="around" w:vAnchor="text" w:hAnchor="margin"/>
                    <w:spacing w:after="0" w:line="259" w:lineRule="auto"/>
                    <w:ind w:left="0" w:right="0" w:firstLine="0"/>
                    <w:suppressOverlap/>
                    <w:jc w:val="left"/>
                  </w:pPr>
                  <w:r>
                    <w:rPr>
                      <w:sz w:val="18"/>
                    </w:rPr>
                    <w:t>Planet (PlanetScope)</w:t>
                  </w:r>
                </w:p>
              </w:tc>
              <w:tc>
                <w:tcPr>
                  <w:tcW w:w="2399" w:type="dxa"/>
                  <w:tcBorders>
                    <w:top w:val="nil"/>
                    <w:left w:val="nil"/>
                    <w:bottom w:val="nil"/>
                    <w:right w:val="nil"/>
                  </w:tcBorders>
                </w:tcPr>
                <w:p w14:paraId="52EABE4D" w14:textId="77777777" w:rsidR="005F5683" w:rsidRDefault="00C75C6D">
                  <w:pPr>
                    <w:framePr w:wrap="around" w:vAnchor="text" w:hAnchor="margin"/>
                    <w:spacing w:after="0" w:line="259" w:lineRule="auto"/>
                    <w:ind w:left="6" w:right="0" w:firstLine="0"/>
                    <w:suppressOverlap/>
                    <w:jc w:val="left"/>
                  </w:pPr>
                  <w:r>
                    <w:rPr>
                      <w:sz w:val="18"/>
                    </w:rPr>
                    <w:t>Planet Labs</w:t>
                  </w:r>
                </w:p>
              </w:tc>
              <w:tc>
                <w:tcPr>
                  <w:tcW w:w="3641" w:type="dxa"/>
                  <w:tcBorders>
                    <w:top w:val="nil"/>
                    <w:left w:val="nil"/>
                    <w:bottom w:val="nil"/>
                    <w:right w:val="nil"/>
                  </w:tcBorders>
                </w:tcPr>
                <w:p w14:paraId="1293786D" w14:textId="77777777" w:rsidR="005F5683" w:rsidRDefault="00C75C6D">
                  <w:pPr>
                    <w:framePr w:wrap="around" w:vAnchor="text" w:hAnchor="margin"/>
                    <w:spacing w:after="0" w:line="259" w:lineRule="auto"/>
                    <w:ind w:left="0" w:right="0" w:firstLine="0"/>
                    <w:suppressOverlap/>
                    <w:jc w:val="left"/>
                  </w:pPr>
                  <w:r>
                    <w:rPr>
                      <w:sz w:val="18"/>
                    </w:rPr>
                    <w:t>Daily high-frequency imagery for hotspot monitoring</w:t>
                  </w:r>
                </w:p>
              </w:tc>
              <w:tc>
                <w:tcPr>
                  <w:tcW w:w="1131" w:type="dxa"/>
                  <w:tcBorders>
                    <w:top w:val="nil"/>
                    <w:left w:val="nil"/>
                    <w:bottom w:val="nil"/>
                    <w:right w:val="nil"/>
                  </w:tcBorders>
                </w:tcPr>
                <w:p w14:paraId="3E7FA904" w14:textId="77777777" w:rsidR="005F5683" w:rsidRDefault="00C75C6D">
                  <w:pPr>
                    <w:framePr w:wrap="around" w:vAnchor="text" w:hAnchor="margin"/>
                    <w:spacing w:after="0" w:line="259" w:lineRule="auto"/>
                    <w:ind w:left="0" w:right="0" w:firstLine="0"/>
                    <w:suppressOverlap/>
                    <w:jc w:val="left"/>
                  </w:pPr>
                  <w:r>
                    <w:rPr>
                      <w:sz w:val="18"/>
                    </w:rPr>
                    <w:t>3–5 m</w:t>
                  </w:r>
                </w:p>
              </w:tc>
              <w:tc>
                <w:tcPr>
                  <w:tcW w:w="599" w:type="dxa"/>
                  <w:tcBorders>
                    <w:top w:val="nil"/>
                    <w:left w:val="nil"/>
                    <w:bottom w:val="nil"/>
                    <w:right w:val="nil"/>
                  </w:tcBorders>
                </w:tcPr>
                <w:p w14:paraId="4283D9DE" w14:textId="77777777" w:rsidR="005F5683" w:rsidRDefault="005F5683">
                  <w:pPr>
                    <w:framePr w:wrap="around" w:vAnchor="text" w:hAnchor="margin"/>
                    <w:spacing w:after="160" w:line="259" w:lineRule="auto"/>
                    <w:ind w:left="0" w:right="0" w:firstLine="0"/>
                    <w:suppressOverlap/>
                    <w:jc w:val="left"/>
                  </w:pPr>
                </w:p>
              </w:tc>
            </w:tr>
            <w:tr w:rsidR="005F5683" w14:paraId="4F493FF1" w14:textId="77777777">
              <w:trPr>
                <w:trHeight w:val="438"/>
              </w:trPr>
              <w:tc>
                <w:tcPr>
                  <w:tcW w:w="2161" w:type="dxa"/>
                  <w:tcBorders>
                    <w:top w:val="nil"/>
                    <w:left w:val="nil"/>
                    <w:bottom w:val="nil"/>
                    <w:right w:val="nil"/>
                  </w:tcBorders>
                </w:tcPr>
                <w:p w14:paraId="48C46E77" w14:textId="77777777" w:rsidR="005F5683" w:rsidRDefault="00C75C6D">
                  <w:pPr>
                    <w:framePr w:wrap="around" w:vAnchor="text" w:hAnchor="margin"/>
                    <w:spacing w:after="0" w:line="259" w:lineRule="auto"/>
                    <w:ind w:left="0" w:right="0" w:firstLine="0"/>
                    <w:suppressOverlap/>
                    <w:jc w:val="left"/>
                  </w:pPr>
                  <w:r>
                    <w:rPr>
                      <w:sz w:val="18"/>
                    </w:rPr>
                    <w:t>GBIF</w:t>
                  </w:r>
                </w:p>
              </w:tc>
              <w:tc>
                <w:tcPr>
                  <w:tcW w:w="2399" w:type="dxa"/>
                  <w:tcBorders>
                    <w:top w:val="nil"/>
                    <w:left w:val="nil"/>
                    <w:bottom w:val="nil"/>
                    <w:right w:val="nil"/>
                  </w:tcBorders>
                </w:tcPr>
                <w:p w14:paraId="32CEA153" w14:textId="77777777" w:rsidR="005F5683" w:rsidRDefault="00C75C6D">
                  <w:pPr>
                    <w:framePr w:wrap="around" w:vAnchor="text" w:hAnchor="margin"/>
                    <w:spacing w:after="0" w:line="259" w:lineRule="auto"/>
                    <w:ind w:left="6" w:right="0" w:firstLine="0"/>
                    <w:suppressOverlap/>
                  </w:pPr>
                  <w:r>
                    <w:rPr>
                      <w:sz w:val="18"/>
                    </w:rPr>
                    <w:t>Global Biodiversity Information Facility</w:t>
                  </w:r>
                </w:p>
              </w:tc>
              <w:tc>
                <w:tcPr>
                  <w:tcW w:w="3641" w:type="dxa"/>
                  <w:tcBorders>
                    <w:top w:val="nil"/>
                    <w:left w:val="nil"/>
                    <w:bottom w:val="nil"/>
                    <w:right w:val="nil"/>
                  </w:tcBorders>
                </w:tcPr>
                <w:p w14:paraId="3C0FBBAE" w14:textId="77777777" w:rsidR="005F5683" w:rsidRDefault="00C75C6D">
                  <w:pPr>
                    <w:framePr w:wrap="around" w:vAnchor="text" w:hAnchor="margin"/>
                    <w:spacing w:after="0" w:line="259" w:lineRule="auto"/>
                    <w:ind w:left="0" w:right="0" w:firstLine="0"/>
                    <w:suppressOverlap/>
                    <w:jc w:val="left"/>
                  </w:pPr>
                  <w:r>
                    <w:rPr>
                      <w:sz w:val="18"/>
                    </w:rPr>
                    <w:t>Species occurrence records</w:t>
                  </w:r>
                </w:p>
              </w:tc>
              <w:tc>
                <w:tcPr>
                  <w:tcW w:w="1131" w:type="dxa"/>
                  <w:tcBorders>
                    <w:top w:val="nil"/>
                    <w:left w:val="nil"/>
                    <w:bottom w:val="nil"/>
                    <w:right w:val="nil"/>
                  </w:tcBorders>
                </w:tcPr>
                <w:p w14:paraId="429FC379" w14:textId="77777777" w:rsidR="005F5683" w:rsidRDefault="00C75C6D">
                  <w:pPr>
                    <w:framePr w:wrap="around" w:vAnchor="text" w:hAnchor="margin"/>
                    <w:spacing w:after="0" w:line="259" w:lineRule="auto"/>
                    <w:ind w:left="0" w:right="0" w:firstLine="0"/>
                    <w:suppressOverlap/>
                    <w:jc w:val="left"/>
                  </w:pPr>
                  <w:r>
                    <w:rPr>
                      <w:sz w:val="18"/>
                    </w:rPr>
                    <w:t>Point-based</w:t>
                  </w:r>
                </w:p>
              </w:tc>
              <w:tc>
                <w:tcPr>
                  <w:tcW w:w="599" w:type="dxa"/>
                  <w:tcBorders>
                    <w:top w:val="nil"/>
                    <w:left w:val="nil"/>
                    <w:bottom w:val="nil"/>
                    <w:right w:val="nil"/>
                  </w:tcBorders>
                </w:tcPr>
                <w:p w14:paraId="061ADAD1" w14:textId="77777777" w:rsidR="005F5683" w:rsidRDefault="005F5683">
                  <w:pPr>
                    <w:framePr w:wrap="around" w:vAnchor="text" w:hAnchor="margin"/>
                    <w:spacing w:after="160" w:line="259" w:lineRule="auto"/>
                    <w:ind w:left="0" w:right="0" w:firstLine="0"/>
                    <w:suppressOverlap/>
                    <w:jc w:val="left"/>
                  </w:pPr>
                </w:p>
              </w:tc>
            </w:tr>
            <w:tr w:rsidR="005F5683" w14:paraId="155FAEB3" w14:textId="77777777">
              <w:trPr>
                <w:trHeight w:val="219"/>
              </w:trPr>
              <w:tc>
                <w:tcPr>
                  <w:tcW w:w="2161" w:type="dxa"/>
                  <w:tcBorders>
                    <w:top w:val="nil"/>
                    <w:left w:val="nil"/>
                    <w:bottom w:val="nil"/>
                    <w:right w:val="nil"/>
                  </w:tcBorders>
                </w:tcPr>
                <w:p w14:paraId="4826ED59" w14:textId="77777777" w:rsidR="005F5683" w:rsidRDefault="00C75C6D">
                  <w:pPr>
                    <w:framePr w:wrap="around" w:vAnchor="text" w:hAnchor="margin"/>
                    <w:spacing w:after="0" w:line="259" w:lineRule="auto"/>
                    <w:ind w:left="0" w:right="0" w:firstLine="0"/>
                    <w:suppressOverlap/>
                    <w:jc w:val="left"/>
                  </w:pPr>
                  <w:r>
                    <w:rPr>
                      <w:sz w:val="18"/>
                    </w:rPr>
                    <w:t>IUCN Red List</w:t>
                  </w:r>
                </w:p>
              </w:tc>
              <w:tc>
                <w:tcPr>
                  <w:tcW w:w="2399" w:type="dxa"/>
                  <w:tcBorders>
                    <w:top w:val="nil"/>
                    <w:left w:val="nil"/>
                    <w:bottom w:val="nil"/>
                    <w:right w:val="nil"/>
                  </w:tcBorders>
                </w:tcPr>
                <w:p w14:paraId="186C3F49" w14:textId="77777777" w:rsidR="005F5683" w:rsidRDefault="00C75C6D">
                  <w:pPr>
                    <w:framePr w:wrap="around" w:vAnchor="text" w:hAnchor="margin"/>
                    <w:spacing w:after="0" w:line="259" w:lineRule="auto"/>
                    <w:ind w:left="6" w:right="0" w:firstLine="0"/>
                    <w:suppressOverlap/>
                    <w:jc w:val="left"/>
                  </w:pPr>
                  <w:r>
                    <w:rPr>
                      <w:sz w:val="18"/>
                    </w:rPr>
                    <w:t>IUCN</w:t>
                  </w:r>
                </w:p>
              </w:tc>
              <w:tc>
                <w:tcPr>
                  <w:tcW w:w="3641" w:type="dxa"/>
                  <w:tcBorders>
                    <w:top w:val="nil"/>
                    <w:left w:val="nil"/>
                    <w:bottom w:val="nil"/>
                    <w:right w:val="nil"/>
                  </w:tcBorders>
                </w:tcPr>
                <w:p w14:paraId="0BC47FBB" w14:textId="77777777" w:rsidR="005F5683" w:rsidRDefault="00C75C6D">
                  <w:pPr>
                    <w:framePr w:wrap="around" w:vAnchor="text" w:hAnchor="margin"/>
                    <w:spacing w:after="0" w:line="259" w:lineRule="auto"/>
                    <w:ind w:left="0" w:right="0" w:firstLine="0"/>
                    <w:suppressOverlap/>
                    <w:jc w:val="left"/>
                  </w:pPr>
                  <w:r>
                    <w:rPr>
                      <w:sz w:val="18"/>
                    </w:rPr>
                    <w:t>Species conservation status and range maps</w:t>
                  </w:r>
                </w:p>
              </w:tc>
              <w:tc>
                <w:tcPr>
                  <w:tcW w:w="1730" w:type="dxa"/>
                  <w:gridSpan w:val="2"/>
                  <w:tcBorders>
                    <w:top w:val="nil"/>
                    <w:left w:val="nil"/>
                    <w:bottom w:val="nil"/>
                    <w:right w:val="nil"/>
                  </w:tcBorders>
                </w:tcPr>
                <w:p w14:paraId="0C64E2DB" w14:textId="77777777" w:rsidR="005F5683" w:rsidRDefault="00C75C6D">
                  <w:pPr>
                    <w:framePr w:wrap="around" w:vAnchor="text" w:hAnchor="margin"/>
                    <w:spacing w:after="0" w:line="259" w:lineRule="auto"/>
                    <w:ind w:left="0" w:right="0" w:firstLine="0"/>
                    <w:suppressOverlap/>
                    <w:jc w:val="left"/>
                  </w:pPr>
                  <w:r>
                    <w:rPr>
                      <w:sz w:val="18"/>
                    </w:rPr>
                    <w:t>Polygon-based</w:t>
                  </w:r>
                </w:p>
              </w:tc>
            </w:tr>
            <w:tr w:rsidR="005F5683" w14:paraId="5C476BC8" w14:textId="77777777">
              <w:trPr>
                <w:trHeight w:val="190"/>
              </w:trPr>
              <w:tc>
                <w:tcPr>
                  <w:tcW w:w="2161" w:type="dxa"/>
                  <w:tcBorders>
                    <w:top w:val="nil"/>
                    <w:left w:val="nil"/>
                    <w:bottom w:val="nil"/>
                    <w:right w:val="nil"/>
                  </w:tcBorders>
                </w:tcPr>
                <w:p w14:paraId="12BDB2EA" w14:textId="77777777" w:rsidR="005F5683" w:rsidRDefault="00C75C6D">
                  <w:pPr>
                    <w:framePr w:wrap="around" w:vAnchor="text" w:hAnchor="margin"/>
                    <w:spacing w:after="0" w:line="259" w:lineRule="auto"/>
                    <w:ind w:left="0" w:right="0" w:firstLine="0"/>
                    <w:suppressOverlap/>
                    <w:jc w:val="left"/>
                  </w:pPr>
                  <w:r>
                    <w:rPr>
                      <w:sz w:val="18"/>
                    </w:rPr>
                    <w:t>MODIS Burned Area / Fire</w:t>
                  </w:r>
                </w:p>
              </w:tc>
              <w:tc>
                <w:tcPr>
                  <w:tcW w:w="2399" w:type="dxa"/>
                  <w:tcBorders>
                    <w:top w:val="nil"/>
                    <w:left w:val="nil"/>
                    <w:bottom w:val="nil"/>
                    <w:right w:val="nil"/>
                  </w:tcBorders>
                </w:tcPr>
                <w:p w14:paraId="12858318" w14:textId="77777777" w:rsidR="005F5683" w:rsidRDefault="00C75C6D">
                  <w:pPr>
                    <w:framePr w:wrap="around" w:vAnchor="text" w:hAnchor="margin"/>
                    <w:spacing w:after="0" w:line="259" w:lineRule="auto"/>
                    <w:ind w:left="6" w:right="0" w:firstLine="0"/>
                    <w:suppressOverlap/>
                    <w:jc w:val="left"/>
                  </w:pPr>
                  <w:r>
                    <w:rPr>
                      <w:sz w:val="18"/>
                    </w:rPr>
                    <w:t>NASA</w:t>
                  </w:r>
                </w:p>
              </w:tc>
              <w:tc>
                <w:tcPr>
                  <w:tcW w:w="3641" w:type="dxa"/>
                  <w:tcBorders>
                    <w:top w:val="nil"/>
                    <w:left w:val="nil"/>
                    <w:bottom w:val="nil"/>
                    <w:right w:val="nil"/>
                  </w:tcBorders>
                </w:tcPr>
                <w:p w14:paraId="2702D928" w14:textId="77777777" w:rsidR="005F5683" w:rsidRDefault="00C75C6D">
                  <w:pPr>
                    <w:framePr w:wrap="around" w:vAnchor="text" w:hAnchor="margin"/>
                    <w:spacing w:after="0" w:line="259" w:lineRule="auto"/>
                    <w:ind w:left="0" w:right="0" w:firstLine="0"/>
                    <w:suppressOverlap/>
                    <w:jc w:val="left"/>
                  </w:pPr>
                  <w:r>
                    <w:rPr>
                      <w:sz w:val="18"/>
                    </w:rPr>
                    <w:t>Fire detection linked to land clearing</w:t>
                  </w:r>
                </w:p>
              </w:tc>
              <w:tc>
                <w:tcPr>
                  <w:tcW w:w="1730" w:type="dxa"/>
                  <w:gridSpan w:val="2"/>
                  <w:tcBorders>
                    <w:top w:val="nil"/>
                    <w:left w:val="nil"/>
                    <w:bottom w:val="nil"/>
                    <w:right w:val="nil"/>
                  </w:tcBorders>
                </w:tcPr>
                <w:p w14:paraId="3351982B" w14:textId="77777777" w:rsidR="005F5683" w:rsidRDefault="00C75C6D">
                  <w:pPr>
                    <w:framePr w:wrap="around" w:vAnchor="text" w:hAnchor="margin"/>
                    <w:spacing w:after="0" w:line="259" w:lineRule="auto"/>
                    <w:ind w:left="0" w:right="0" w:firstLine="0"/>
                    <w:suppressOverlap/>
                    <w:jc w:val="left"/>
                  </w:pPr>
                  <w:r>
                    <w:rPr>
                      <w:sz w:val="18"/>
                    </w:rPr>
                    <w:t>250–500 m</w:t>
                  </w:r>
                </w:p>
              </w:tc>
            </w:tr>
          </w:tbl>
          <w:p w14:paraId="3AFEC068" w14:textId="77777777" w:rsidR="005F5683" w:rsidRDefault="00C75C6D">
            <w:pPr>
              <w:spacing w:after="239" w:line="259" w:lineRule="auto"/>
              <w:ind w:left="120" w:right="0" w:firstLine="0"/>
              <w:jc w:val="left"/>
            </w:pPr>
            <w:r>
              <w:rPr>
                <w:noProof/>
                <w:sz w:val="22"/>
              </w:rPr>
              <mc:AlternateContent>
                <mc:Choice Requires="wpg">
                  <w:drawing>
                    <wp:inline distT="0" distB="0" distL="0" distR="0" wp14:anchorId="301FDDE4" wp14:editId="519043DA">
                      <wp:extent cx="6287491" cy="10122"/>
                      <wp:effectExtent l="0" t="0" r="0" b="0"/>
                      <wp:docPr id="10622" name="Group 10622"/>
                      <wp:cNvGraphicFramePr/>
                      <a:graphic xmlns:a="http://schemas.openxmlformats.org/drawingml/2006/main">
                        <a:graphicData uri="http://schemas.microsoft.com/office/word/2010/wordprocessingGroup">
                          <wpg:wgp>
                            <wpg:cNvGrpSpPr/>
                            <wpg:grpSpPr>
                              <a:xfrm>
                                <a:off x="0" y="0"/>
                                <a:ext cx="6287491" cy="10122"/>
                                <a:chOff x="0" y="0"/>
                                <a:chExt cx="6287491" cy="10122"/>
                              </a:xfrm>
                            </wpg:grpSpPr>
                            <wps:wsp>
                              <wps:cNvPr id="308" name="Shape 308"/>
                              <wps:cNvSpPr/>
                              <wps:spPr>
                                <a:xfrm>
                                  <a:off x="0" y="0"/>
                                  <a:ext cx="6287491" cy="0"/>
                                </a:xfrm>
                                <a:custGeom>
                                  <a:avLst/>
                                  <a:gdLst/>
                                  <a:ahLst/>
                                  <a:cxnLst/>
                                  <a:rect l="0" t="0" r="0" b="0"/>
                                  <a:pathLst>
                                    <a:path w="6287491">
                                      <a:moveTo>
                                        <a:pt x="0" y="0"/>
                                      </a:moveTo>
                                      <a:lnTo>
                                        <a:pt x="6287491" y="0"/>
                                      </a:lnTo>
                                    </a:path>
                                  </a:pathLst>
                                </a:custGeom>
                                <a:ln w="10122"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622" style="width:495.078pt;height:0.797pt;mso-position-horizontal-relative:char;mso-position-vertical-relative:line" coordsize="62874,101">
                      <v:shape id="Shape 308" style="position:absolute;width:62874;height:0;left:0;top:0;" coordsize="6287491,0" path="m0,0l6287491,0">
                        <v:stroke weight="0.797pt" endcap="flat" joinstyle="miter" miterlimit="10" on="true" color="#000000"/>
                        <v:fill on="false" color="#000000" opacity="0"/>
                      </v:shape>
                    </v:group>
                  </w:pict>
                </mc:Fallback>
              </mc:AlternateContent>
            </w:r>
          </w:p>
          <w:p w14:paraId="5A282D12" w14:textId="77777777" w:rsidR="005F5683" w:rsidRDefault="00C75C6D">
            <w:pPr>
              <w:spacing w:after="0" w:line="259" w:lineRule="auto"/>
              <w:ind w:left="0" w:right="6" w:firstLine="0"/>
              <w:jc w:val="center"/>
            </w:pPr>
            <w:r>
              <w:rPr>
                <w:sz w:val="18"/>
              </w:rPr>
              <w:t xml:space="preserve">Table 1. </w:t>
            </w:r>
            <w:r>
              <w:rPr>
                <w:sz w:val="18"/>
              </w:rPr>
              <w:t>Selected open datasets commonly used in deforestation and biodiversity data science.</w:t>
            </w:r>
          </w:p>
        </w:tc>
      </w:tr>
    </w:tbl>
    <w:p w14:paraId="47D1436E" w14:textId="77777777" w:rsidR="005F5683" w:rsidRDefault="00C75C6D">
      <w:pPr>
        <w:spacing w:after="219"/>
        <w:ind w:left="20" w:right="15" w:firstLine="199"/>
      </w:pPr>
      <w:r>
        <w:t xml:space="preserve">Definitions and comparability. </w:t>
      </w:r>
      <w:r>
        <w:t xml:space="preserve">Reported figures for forest loss depend on how “forest” is defined, for example by minimum canopy cover, minimum area, or land-use criteria that include or exclude plantations and tree crops. Tree-cover loss measured by satellites also does not always equal permanent deforestation, since loss may result from fire, harvest rotation in managed forests, or natural disturbance </w:t>
      </w:r>
      <w:r>
        <w:t>followed by regrowth. Analysts must therefore be careful when comparing statistics produced under different definitions, and conclusions</w:t>
      </w:r>
      <w:r>
        <w:t xml:space="preserve"> should state which definition was used.</w:t>
      </w:r>
    </w:p>
    <w:p w14:paraId="4214BAD0" w14:textId="77777777" w:rsidR="005F5683" w:rsidRDefault="00C75C6D">
      <w:pPr>
        <w:numPr>
          <w:ilvl w:val="0"/>
          <w:numId w:val="1"/>
        </w:numPr>
        <w:spacing w:after="75" w:line="278" w:lineRule="auto"/>
        <w:ind w:right="0" w:hanging="242"/>
        <w:jc w:val="left"/>
      </w:pPr>
      <w:r>
        <w:rPr>
          <w:sz w:val="18"/>
        </w:rPr>
        <w:t>D</w:t>
      </w:r>
      <w:r>
        <w:rPr>
          <w:sz w:val="14"/>
        </w:rPr>
        <w:t xml:space="preserve">ATA </w:t>
      </w:r>
      <w:r>
        <w:rPr>
          <w:sz w:val="18"/>
        </w:rPr>
        <w:t>S</w:t>
      </w:r>
      <w:r>
        <w:rPr>
          <w:sz w:val="14"/>
        </w:rPr>
        <w:t xml:space="preserve">CIENCE </w:t>
      </w:r>
      <w:r>
        <w:rPr>
          <w:sz w:val="18"/>
        </w:rPr>
        <w:t>M</w:t>
      </w:r>
      <w:r>
        <w:rPr>
          <w:sz w:val="14"/>
        </w:rPr>
        <w:t xml:space="preserve">ETHODS </w:t>
      </w:r>
      <w:r>
        <w:rPr>
          <w:sz w:val="18"/>
        </w:rPr>
        <w:t>A</w:t>
      </w:r>
      <w:r>
        <w:rPr>
          <w:sz w:val="14"/>
        </w:rPr>
        <w:t xml:space="preserve">PPLIED TO </w:t>
      </w:r>
      <w:r>
        <w:rPr>
          <w:sz w:val="18"/>
        </w:rPr>
        <w:t>D</w:t>
      </w:r>
      <w:r>
        <w:rPr>
          <w:sz w:val="14"/>
        </w:rPr>
        <w:t xml:space="preserve">EFORESTATION </w:t>
      </w:r>
      <w:r>
        <w:rPr>
          <w:sz w:val="18"/>
        </w:rPr>
        <w:t>D</w:t>
      </w:r>
      <w:r>
        <w:rPr>
          <w:sz w:val="14"/>
        </w:rPr>
        <w:t>ETECTION</w:t>
      </w:r>
    </w:p>
    <w:p w14:paraId="304F8DF6" w14:textId="77777777" w:rsidR="005F5683" w:rsidRDefault="00C75C6D">
      <w:pPr>
        <w:numPr>
          <w:ilvl w:val="1"/>
          <w:numId w:val="1"/>
        </w:numPr>
        <w:spacing w:after="69" w:line="259" w:lineRule="auto"/>
        <w:ind w:left="1107" w:right="0" w:hanging="314"/>
        <w:jc w:val="left"/>
      </w:pPr>
      <w:r>
        <w:rPr>
          <w:i/>
          <w:sz w:val="18"/>
        </w:rPr>
        <w:t>Supervised Classification of Land Cover</w:t>
      </w:r>
    </w:p>
    <w:p w14:paraId="7705EC62" w14:textId="77777777" w:rsidR="005F5683" w:rsidRDefault="00C75C6D">
      <w:pPr>
        <w:ind w:left="23" w:right="15"/>
      </w:pPr>
      <w:r>
        <w:t>The most established application of machine learning in this domain is pixel-based or object-based classification of satellite imagery into land-cover categories such as intact forest, degraded forest, cleared land, and non-forest. Historically, algorithms such as random forests and support vector machines have performed well on this task using spectral bands and vegetation indices such as NDVI (Normalized Difference Vegetation Index) as features. More recently, convolutional neural networks (CNNs) have imp</w:t>
      </w:r>
      <w:r>
        <w:t>roved classification accuracy by learning spatial texture patterns directly from imagery rather than relying on hand-engineered spectral indices, which is particularly useful for distinguishing selective logging or forest degradation from wholesale clearance.</w:t>
      </w:r>
    </w:p>
    <w:p w14:paraId="394A5986" w14:textId="77777777" w:rsidR="005F5683" w:rsidRDefault="00C75C6D">
      <w:pPr>
        <w:numPr>
          <w:ilvl w:val="1"/>
          <w:numId w:val="1"/>
        </w:numPr>
        <w:spacing w:after="69" w:line="259" w:lineRule="auto"/>
        <w:ind w:left="1107" w:right="0" w:hanging="314"/>
        <w:jc w:val="left"/>
      </w:pPr>
      <w:r>
        <w:rPr>
          <w:i/>
          <w:sz w:val="18"/>
        </w:rPr>
        <w:t>Change Detection and Alert Systems</w:t>
      </w:r>
    </w:p>
    <w:p w14:paraId="74592F23" w14:textId="77777777" w:rsidR="005F5683" w:rsidRDefault="00C75C6D">
      <w:pPr>
        <w:spacing w:after="113" w:line="237" w:lineRule="auto"/>
        <w:ind w:left="94" w:right="0" w:firstLine="0"/>
        <w:jc w:val="left"/>
      </w:pPr>
      <w:r>
        <w:t>Change-detection algorithms compare imagery from different time periods to flag pixels where forest cover has likely been lost. Systems such as Global Forest Watch’s GLAD (Global Land Analysis and Discovery) alerts and RADD (Radar for Detecting Deforestation) alerts operationalize this approach at near-weekly frequency, issuing alerts within days of detected clearance in many tropical regions. These alerts are increasingly integrated into enforcement workflows, allowing park rangers and environmental agenci</w:t>
      </w:r>
      <w:r>
        <w:t xml:space="preserve">es to prioritize field verification and </w:t>
      </w:r>
      <w:r>
        <w:lastRenderedPageBreak/>
        <w:t>response to the highest-confidence, highest-priority alerts rather than patrolling reactively or at random.</w:t>
      </w:r>
    </w:p>
    <w:p w14:paraId="1C723A2B" w14:textId="77777777" w:rsidR="005F5683" w:rsidRDefault="00C75C6D">
      <w:pPr>
        <w:numPr>
          <w:ilvl w:val="1"/>
          <w:numId w:val="1"/>
        </w:numPr>
        <w:spacing w:after="69" w:line="259" w:lineRule="auto"/>
        <w:ind w:left="1107" w:right="0" w:hanging="314"/>
        <w:jc w:val="left"/>
      </w:pPr>
      <w:r>
        <w:rPr>
          <w:i/>
          <w:sz w:val="18"/>
        </w:rPr>
        <w:t>Predictive and Risk Modeling</w:t>
      </w:r>
    </w:p>
    <w:p w14:paraId="652E3F30" w14:textId="77777777" w:rsidR="005F5683" w:rsidRDefault="00C75C6D">
      <w:pPr>
        <w:ind w:left="23" w:right="15"/>
      </w:pPr>
      <w:r>
        <w:t>Beyond detecting change that has already occurred, researchers use spatial regression and machine learning models to predict where future deforestation is most likely, based on covariates such as proximity to roads and existing clearings, terrain slope, land-tenure status, and historical clearing patterns. These risk maps support proactive conservation planning, such as directing patrol resources or targeting paymentfor-ecosystem-services programs toward areas of high predicted risk and high conservation va</w:t>
      </w:r>
      <w:r>
        <w:t>lue, rather than areas that are already degraded.</w:t>
      </w:r>
    </w:p>
    <w:p w14:paraId="3A3AFDCA" w14:textId="77777777" w:rsidR="005F5683" w:rsidRDefault="00C75C6D">
      <w:pPr>
        <w:numPr>
          <w:ilvl w:val="1"/>
          <w:numId w:val="1"/>
        </w:numPr>
        <w:spacing w:after="69" w:line="259" w:lineRule="auto"/>
        <w:ind w:left="1107" w:right="0" w:hanging="314"/>
        <w:jc w:val="left"/>
      </w:pPr>
      <w:r>
        <w:rPr>
          <w:i/>
          <w:sz w:val="18"/>
        </w:rPr>
        <w:t>Modeling Biodiversity Impact</w:t>
      </w:r>
    </w:p>
    <w:p w14:paraId="0426F0B3" w14:textId="77777777" w:rsidR="005F5683" w:rsidRDefault="00C75C6D">
      <w:pPr>
        <w:ind w:left="23" w:right="15"/>
      </w:pPr>
      <w:r>
        <w:t>Species distribution models (SDMs) estimate the geographic range and habitat suitability of a species based on environmental covariates and occurrence records, commonly using algorithms such as MaxEnt, random forests, or boosted regression trees. When combined with deforestation projections, SDMs allow researchers to estimate how much suitable habitat a species is likely to lose under different land-use scenarios, and to identify areas where habitat loss is likely to overlap with high concentrations of rang</w:t>
      </w:r>
      <w:r>
        <w:t>e-restricted or threatened species. Network and connectivity analysis is also used to assess how fragmentation affects the ability of species to migrate or disperse between remaining habitat patches, which is often as important to long-term population viability as the raw amount of remaining habitat.</w:t>
      </w:r>
    </w:p>
    <w:p w14:paraId="64ECACFC" w14:textId="77777777" w:rsidR="005F5683" w:rsidRDefault="00C75C6D">
      <w:pPr>
        <w:numPr>
          <w:ilvl w:val="1"/>
          <w:numId w:val="1"/>
        </w:numPr>
        <w:spacing w:after="69" w:line="259" w:lineRule="auto"/>
        <w:ind w:left="1107" w:right="0" w:hanging="314"/>
        <w:jc w:val="left"/>
      </w:pPr>
      <w:r>
        <w:rPr>
          <w:i/>
          <w:sz w:val="18"/>
        </w:rPr>
        <w:t>Prioritization and Optimization</w:t>
      </w:r>
    </w:p>
    <w:p w14:paraId="66B534F5" w14:textId="77777777" w:rsidR="005F5683" w:rsidRDefault="00C75C6D">
      <w:pPr>
        <w:ind w:left="23" w:right="15"/>
      </w:pPr>
      <w:r>
        <w:t xml:space="preserve">Because conservation budgets are always constrained relative to the scale of the problem, optimization techniques, including integer programming and marginal-value-based prioritization algorithms such as Zonation and Marxan, are used to identify the set of areas that would protect the greatest amount of biodiversity value per unit of cost. These tools increasingly incorporate outputs from deforestation risk models as an input, so that prioritization reflects not only current biodiversity value but also the </w:t>
      </w:r>
      <w:r>
        <w:t>urgency of the threat facing a given area.</w:t>
      </w:r>
    </w:p>
    <w:p w14:paraId="50BD8D0B" w14:textId="77777777" w:rsidR="005F5683" w:rsidRDefault="00C75C6D">
      <w:pPr>
        <w:numPr>
          <w:ilvl w:val="1"/>
          <w:numId w:val="1"/>
        </w:numPr>
        <w:spacing w:after="69" w:line="259" w:lineRule="auto"/>
        <w:ind w:left="1107" w:right="0" w:hanging="314"/>
        <w:jc w:val="left"/>
      </w:pPr>
      <w:r>
        <w:rPr>
          <w:i/>
          <w:sz w:val="18"/>
        </w:rPr>
        <w:t>Emerging Techniques</w:t>
      </w:r>
    </w:p>
    <w:p w14:paraId="12D8CA5F" w14:textId="77777777" w:rsidR="005F5683" w:rsidRDefault="00C75C6D">
      <w:pPr>
        <w:ind w:left="23" w:right="15"/>
      </w:pPr>
      <w:r>
        <w:t>Several newer approaches are broadening the range of what can be measured. Deep learning architectures originally developed for image segmentation, such as U-Net-style encoderdecoder networks, can delineate small clearings, logging roads, and mining scars at the pixel level, while sequence models and attention-based architectures are being applied to dense satellite time series to separate genuine disturbance from seasonal variation. Spaceborne LiDAR instruments, such as NASA’s GEDI mission, measure vertica</w:t>
      </w:r>
      <w:r>
        <w:t xml:space="preserve">l canopy structure and make it possible to estimate </w:t>
      </w:r>
      <w:r>
        <w:t>forest height and aboveground biomass, which helps distinguish degraded from intact forest even when canopy cover appears similar in optical imagery. On the biodiversity side, passive acoustic monitoring, camera traps, and environmental DNA sampling generate large volumes of species-level data that are increasingly processed with automated classifiers, and citizen-science platforms contribute additional occurrence records at scale. Integrating these in-sit</w:t>
      </w:r>
      <w:r>
        <w:t>u sensors with satellite products is an active research area, because it connects measured habitat change to observed changes in species presence and abundance rather than relying on modeled inference alone.</w:t>
      </w:r>
    </w:p>
    <w:p w14:paraId="21D85D27" w14:textId="77777777" w:rsidR="005F5683" w:rsidRDefault="00C75C6D">
      <w:pPr>
        <w:numPr>
          <w:ilvl w:val="1"/>
          <w:numId w:val="1"/>
        </w:numPr>
        <w:spacing w:after="69" w:line="259" w:lineRule="auto"/>
        <w:ind w:left="1107" w:right="0" w:hanging="314"/>
        <w:jc w:val="left"/>
      </w:pPr>
      <w:r>
        <w:rPr>
          <w:i/>
          <w:sz w:val="18"/>
        </w:rPr>
        <w:t>Model Evaluation and Validation</w:t>
      </w:r>
    </w:p>
    <w:p w14:paraId="047A7551" w14:textId="77777777" w:rsidR="005F5683" w:rsidRDefault="00C75C6D">
      <w:pPr>
        <w:spacing w:after="217"/>
        <w:ind w:left="23" w:right="15"/>
      </w:pPr>
      <w:r>
        <w:t>Reliable conclusions require careful assessment of model accuracy. For classification and change-detection tasks, standard measures include overall accuracy, precision (the share of flagged pixels that are truly disturbed), recall (the share of true disturbance that is detected), the F1 score, and intersectionover-union for segmentation. Because forest-loss events are rare relative to the total area monitored, overall accuracy can be misleading, and area estimates are better derived from statistically desig</w:t>
      </w:r>
      <w:r>
        <w:t>ned samples of reference observations with uncertainty reported alongside the estimate, rather than from simple pixel counting of a map. For predictive risk models and species distribution models, nearby locations tend to be similar, so random cross-validation can overstate performance; spatial block cross-validation and independent, geographically separate test regions give a more honest picture of how well a model will generalize. Where models inform enforcement or funding decisions, transparency about un</w:t>
      </w:r>
      <w:r>
        <w:t>certainty, false-alarm rates, and the regions in which a model has not been tested is itself part of responsible practice.</w:t>
      </w:r>
    </w:p>
    <w:p w14:paraId="68F3573A" w14:textId="77777777" w:rsidR="005F5683" w:rsidRDefault="00C75C6D">
      <w:pPr>
        <w:pStyle w:val="Heading1"/>
        <w:ind w:left="17" w:right="0"/>
      </w:pPr>
      <w:r>
        <w:rPr>
          <w:sz w:val="18"/>
        </w:rPr>
        <w:t>5. C</w:t>
      </w:r>
      <w:r>
        <w:t xml:space="preserve">ASE </w:t>
      </w:r>
      <w:r>
        <w:rPr>
          <w:sz w:val="18"/>
        </w:rPr>
        <w:t>S</w:t>
      </w:r>
      <w:r>
        <w:t>TUDIES</w:t>
      </w:r>
    </w:p>
    <w:p w14:paraId="5A662BC1" w14:textId="77777777" w:rsidR="005F5683" w:rsidRDefault="00C75C6D">
      <w:pPr>
        <w:spacing w:after="69" w:line="259" w:lineRule="auto"/>
        <w:ind w:left="35" w:right="0" w:hanging="10"/>
        <w:jc w:val="left"/>
      </w:pPr>
      <w:r>
        <w:rPr>
          <w:i/>
          <w:sz w:val="18"/>
        </w:rPr>
        <w:t>5.1 The Brazilian Amazon</w:t>
      </w:r>
    </w:p>
    <w:p w14:paraId="1CA9633B" w14:textId="77777777" w:rsidR="005F5683" w:rsidRDefault="00C75C6D">
      <w:pPr>
        <w:ind w:left="23" w:right="15"/>
      </w:pPr>
      <w:r>
        <w:t>Brazil’s national space research institute (INPE) has operated satellite-based deforestation monitoring systems for decades, including the near-real-time DETER alert system and the annual PRODES assessment. These systems have been credited with supporting substantial reductions in Amazon deforestation during periods of strong enforcement, and, conversely, periods of weakened enforcement have coincided with renewed increases in clearing, illustrating that the availability of monitoring data alone does not gu</w:t>
      </w:r>
      <w:r>
        <w:t>arantee reduced deforestation without accompanying institutional response.</w:t>
      </w:r>
    </w:p>
    <w:p w14:paraId="2950994A" w14:textId="77777777" w:rsidR="005F5683" w:rsidRDefault="00C75C6D">
      <w:pPr>
        <w:spacing w:after="69" w:line="259" w:lineRule="auto"/>
        <w:ind w:left="35" w:right="0" w:hanging="10"/>
        <w:jc w:val="left"/>
      </w:pPr>
      <w:r>
        <w:rPr>
          <w:i/>
          <w:sz w:val="18"/>
        </w:rPr>
        <w:t>5.2 The Congo Basin</w:t>
      </w:r>
    </w:p>
    <w:p w14:paraId="141570F8" w14:textId="77777777" w:rsidR="005F5683" w:rsidRDefault="00C75C6D">
      <w:pPr>
        <w:ind w:left="23" w:right="15"/>
      </w:pPr>
      <w:r>
        <w:t xml:space="preserve">The Congo Basin’s persistent cloud cover has historically limited optical satellite monitoring, making it a priority region for radar-based approaches such as RADD alerts. Data science applications here have also focused on </w:t>
      </w:r>
      <w:r>
        <w:lastRenderedPageBreak/>
        <w:t>distinguishing smallholder shifting cultivation, which often regenerates, from industrial-scale clearing for logging concessions or agribusiness, which typically does not, since the two require very different policy responses despite sometimes appearing similar in coarse-resolution imagery.</w:t>
      </w:r>
    </w:p>
    <w:p w14:paraId="159B9FB4" w14:textId="77777777" w:rsidR="005F5683" w:rsidRDefault="00C75C6D">
      <w:pPr>
        <w:spacing w:after="69" w:line="259" w:lineRule="auto"/>
        <w:ind w:left="35" w:right="0" w:hanging="10"/>
        <w:jc w:val="left"/>
      </w:pPr>
      <w:r>
        <w:rPr>
          <w:i/>
          <w:sz w:val="18"/>
        </w:rPr>
        <w:t>5.3 Southeast Asian Palm Oil Landscapes</w:t>
      </w:r>
    </w:p>
    <w:p w14:paraId="0E4A8C6B" w14:textId="77777777" w:rsidR="005F5683" w:rsidRDefault="00C75C6D">
      <w:pPr>
        <w:ind w:left="23" w:right="15"/>
      </w:pPr>
      <w:r>
        <w:t>In Indonesia and Malaysia, machine learning classifiers have been used to trace palm oil supply chains back to specific plantations and estimate the deforestation footprint associated with particular mills or corporate suppliers. This traceability work has been used by NGOs and, increasingly, by companies themselves to support due-diligence and no-deforestation sourcing commitments, illustrating a shift from data science as a purely scientific tool toward a compliance and supply-chain instrument.</w:t>
      </w:r>
    </w:p>
    <w:p w14:paraId="5CF9980C" w14:textId="77777777" w:rsidR="005F5683" w:rsidRDefault="00C75C6D">
      <w:pPr>
        <w:spacing w:after="69" w:line="259" w:lineRule="auto"/>
        <w:ind w:left="35" w:right="0" w:hanging="10"/>
        <w:jc w:val="left"/>
      </w:pPr>
      <w:r>
        <w:rPr>
          <w:i/>
          <w:sz w:val="18"/>
        </w:rPr>
        <w:t xml:space="preserve">5.4 </w:t>
      </w:r>
      <w:r>
        <w:rPr>
          <w:i/>
          <w:sz w:val="18"/>
        </w:rPr>
        <w:t>India and the Western Ghats</w:t>
      </w:r>
    </w:p>
    <w:p w14:paraId="6E4AE085" w14:textId="77777777" w:rsidR="005F5683" w:rsidRDefault="00C75C6D">
      <w:pPr>
        <w:spacing w:after="25"/>
        <w:ind w:left="23" w:right="15"/>
      </w:pPr>
      <w:r>
        <w:t>India combines a large and densely populated land base with several recognized biodiversity hotspots, including the Western Ghats, which run along the country’s west coast and shelter many endemic species within a landscape shaped by plantations, agriculture, mining, hydropower, and expanding settlements. At the national level, the Forest Survey of India publishes a biennial assessment of forest and tree cover derived from satellite imagery, and also provides satellite-based forest-fire alerts that help fie</w:t>
      </w:r>
      <w:r>
        <w:t xml:space="preserve">ld staff respond quickly. Such periodic national assessments complement the near-real-time alert systems used elsewhere: they offer a consistent longterm record for policy reporting, whereas alerts support rapid operational response. An important analytical caution is that aggregate canopy-based statistics can combine natural forest, plantations, and tree outside forests, which have very different ecological value, so measurements of change in total cover do not necessarily reflect trends in the quality of </w:t>
      </w:r>
      <w:r>
        <w:t>habitat for forest-dependent species. India’s Forest Rights Act also recognizes the rights of forest-dwelling communities, which makes the questions of data ownership and community participation discussed in Section 6 directly relevant to how monitoring is carried out.</w:t>
      </w:r>
    </w:p>
    <w:p w14:paraId="49943831" w14:textId="77777777" w:rsidR="005F5683" w:rsidRDefault="00C75C6D">
      <w:pPr>
        <w:ind w:left="20" w:right="15" w:firstLine="206"/>
      </w:pPr>
      <w:r>
        <w:t>Table 2 summarizes the regional contrasts: although the technical toolkit is broadly shared, the dominant drivers, the appropriate sensors, and the institutional uses of the resulting data differ markedly from one landscape to another, which is why transferable methods still need local calibration and local governance.</w:t>
      </w:r>
    </w:p>
    <w:tbl>
      <w:tblPr>
        <w:tblStyle w:val="TableGrid"/>
        <w:tblpPr w:vertAnchor="text" w:horzAnchor="margin"/>
        <w:tblOverlap w:val="never"/>
        <w:tblW w:w="10145" w:type="dxa"/>
        <w:tblInd w:w="0" w:type="dxa"/>
        <w:tblCellMar>
          <w:top w:w="0" w:type="dxa"/>
          <w:left w:w="0" w:type="dxa"/>
          <w:bottom w:w="5" w:type="dxa"/>
          <w:right w:w="4" w:type="dxa"/>
        </w:tblCellMar>
        <w:tblLook w:val="04A0" w:firstRow="1" w:lastRow="0" w:firstColumn="1" w:lastColumn="0" w:noHBand="0" w:noVBand="1"/>
      </w:tblPr>
      <w:tblGrid>
        <w:gridCol w:w="10145"/>
      </w:tblGrid>
      <w:tr w:rsidR="005F5683" w14:paraId="479713BF" w14:textId="77777777">
        <w:trPr>
          <w:trHeight w:val="190"/>
        </w:trPr>
        <w:tc>
          <w:tcPr>
            <w:tcW w:w="6108" w:type="dxa"/>
            <w:tcBorders>
              <w:top w:val="nil"/>
              <w:left w:val="nil"/>
              <w:bottom w:val="nil"/>
              <w:right w:val="nil"/>
            </w:tcBorders>
            <w:vAlign w:val="bottom"/>
          </w:tcPr>
          <w:p w14:paraId="563C7C9A" w14:textId="77777777" w:rsidR="005F5683" w:rsidRDefault="00C75C6D">
            <w:pPr>
              <w:spacing w:after="0" w:line="259" w:lineRule="auto"/>
              <w:ind w:left="120" w:right="0" w:firstLine="0"/>
              <w:jc w:val="left"/>
            </w:pPr>
            <w:r>
              <w:rPr>
                <w:noProof/>
                <w:sz w:val="22"/>
              </w:rPr>
              <mc:AlternateContent>
                <mc:Choice Requires="wpg">
                  <w:drawing>
                    <wp:inline distT="0" distB="0" distL="0" distR="0" wp14:anchorId="2687DBBD" wp14:editId="45059775">
                      <wp:extent cx="6287491" cy="10122"/>
                      <wp:effectExtent l="0" t="0" r="0" b="0"/>
                      <wp:docPr id="10366" name="Group 10366"/>
                      <wp:cNvGraphicFramePr/>
                      <a:graphic xmlns:a="http://schemas.openxmlformats.org/drawingml/2006/main">
                        <a:graphicData uri="http://schemas.microsoft.com/office/word/2010/wordprocessingGroup">
                          <wpg:wgp>
                            <wpg:cNvGrpSpPr/>
                            <wpg:grpSpPr>
                              <a:xfrm>
                                <a:off x="0" y="0"/>
                                <a:ext cx="6287491" cy="10122"/>
                                <a:chOff x="0" y="0"/>
                                <a:chExt cx="6287491" cy="10122"/>
                              </a:xfrm>
                            </wpg:grpSpPr>
                            <wps:wsp>
                              <wps:cNvPr id="540" name="Shape 540"/>
                              <wps:cNvSpPr/>
                              <wps:spPr>
                                <a:xfrm>
                                  <a:off x="0" y="0"/>
                                  <a:ext cx="6287491" cy="0"/>
                                </a:xfrm>
                                <a:custGeom>
                                  <a:avLst/>
                                  <a:gdLst/>
                                  <a:ahLst/>
                                  <a:cxnLst/>
                                  <a:rect l="0" t="0" r="0" b="0"/>
                                  <a:pathLst>
                                    <a:path w="6287491">
                                      <a:moveTo>
                                        <a:pt x="0" y="0"/>
                                      </a:moveTo>
                                      <a:lnTo>
                                        <a:pt x="6287491" y="0"/>
                                      </a:lnTo>
                                    </a:path>
                                  </a:pathLst>
                                </a:custGeom>
                                <a:ln w="10122"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366" style="width:495.078pt;height:0.797pt;mso-position-horizontal-relative:char;mso-position-vertical-relative:line" coordsize="62874,101">
                      <v:shape id="Shape 540" style="position:absolute;width:62874;height:0;left:0;top:0;" coordsize="6287491,0" path="m0,0l6287491,0">
                        <v:stroke weight="0.797pt" endcap="flat" joinstyle="miter" miterlimit="10" on="true" color="#000000"/>
                        <v:fill on="false" color="#000000" opacity="0"/>
                      </v:shape>
                    </v:group>
                  </w:pict>
                </mc:Fallback>
              </mc:AlternateContent>
            </w:r>
          </w:p>
          <w:tbl>
            <w:tblPr>
              <w:tblStyle w:val="TableGrid"/>
              <w:tblW w:w="10141" w:type="dxa"/>
              <w:tblInd w:w="0" w:type="dxa"/>
              <w:tblCellMar>
                <w:top w:w="30" w:type="dxa"/>
                <w:left w:w="0" w:type="dxa"/>
                <w:bottom w:w="0" w:type="dxa"/>
                <w:right w:w="115" w:type="dxa"/>
              </w:tblCellMar>
              <w:tblLook w:val="04A0" w:firstRow="1" w:lastRow="0" w:firstColumn="1" w:lastColumn="0" w:noHBand="0" w:noVBand="1"/>
            </w:tblPr>
            <w:tblGrid>
              <w:gridCol w:w="1833"/>
              <w:gridCol w:w="2563"/>
              <w:gridCol w:w="2841"/>
              <w:gridCol w:w="2904"/>
            </w:tblGrid>
            <w:tr w:rsidR="005F5683" w14:paraId="2472581D" w14:textId="77777777">
              <w:trPr>
                <w:trHeight w:val="219"/>
              </w:trPr>
              <w:tc>
                <w:tcPr>
                  <w:tcW w:w="1833" w:type="dxa"/>
                  <w:tcBorders>
                    <w:top w:val="nil"/>
                    <w:left w:val="nil"/>
                    <w:bottom w:val="nil"/>
                    <w:right w:val="nil"/>
                  </w:tcBorders>
                  <w:shd w:val="clear" w:color="auto" w:fill="000000"/>
                </w:tcPr>
                <w:p w14:paraId="698500C0" w14:textId="77777777" w:rsidR="005F5683" w:rsidRDefault="00C75C6D">
                  <w:pPr>
                    <w:framePr w:wrap="around" w:vAnchor="text" w:hAnchor="margin"/>
                    <w:spacing w:after="0" w:line="259" w:lineRule="auto"/>
                    <w:ind w:left="120" w:right="0" w:firstLine="0"/>
                    <w:suppressOverlap/>
                    <w:jc w:val="left"/>
                  </w:pPr>
                  <w:r>
                    <w:rPr>
                      <w:color w:val="FFFFFF"/>
                      <w:sz w:val="18"/>
                    </w:rPr>
                    <w:t>Region</w:t>
                  </w:r>
                </w:p>
              </w:tc>
              <w:tc>
                <w:tcPr>
                  <w:tcW w:w="2563" w:type="dxa"/>
                  <w:tcBorders>
                    <w:top w:val="nil"/>
                    <w:left w:val="nil"/>
                    <w:bottom w:val="nil"/>
                    <w:right w:val="nil"/>
                  </w:tcBorders>
                  <w:shd w:val="clear" w:color="auto" w:fill="000000"/>
                </w:tcPr>
                <w:p w14:paraId="2E7AB9AA" w14:textId="77777777" w:rsidR="005F5683" w:rsidRDefault="00C75C6D">
                  <w:pPr>
                    <w:framePr w:wrap="around" w:vAnchor="text" w:hAnchor="margin"/>
                    <w:spacing w:after="0" w:line="259" w:lineRule="auto"/>
                    <w:ind w:left="0" w:right="0" w:firstLine="0"/>
                    <w:suppressOverlap/>
                    <w:jc w:val="left"/>
                  </w:pPr>
                  <w:r>
                    <w:rPr>
                      <w:color w:val="FFFFFF"/>
                      <w:sz w:val="18"/>
                    </w:rPr>
                    <w:t>Prominent Drivers</w:t>
                  </w:r>
                </w:p>
              </w:tc>
              <w:tc>
                <w:tcPr>
                  <w:tcW w:w="2841" w:type="dxa"/>
                  <w:tcBorders>
                    <w:top w:val="nil"/>
                    <w:left w:val="nil"/>
                    <w:bottom w:val="nil"/>
                    <w:right w:val="nil"/>
                  </w:tcBorders>
                  <w:shd w:val="clear" w:color="auto" w:fill="000000"/>
                </w:tcPr>
                <w:p w14:paraId="35318886" w14:textId="77777777" w:rsidR="005F5683" w:rsidRDefault="00C75C6D">
                  <w:pPr>
                    <w:framePr w:wrap="around" w:vAnchor="text" w:hAnchor="margin"/>
                    <w:spacing w:after="0" w:line="259" w:lineRule="auto"/>
                    <w:ind w:left="0" w:right="0" w:firstLine="0"/>
                    <w:suppressOverlap/>
                    <w:jc w:val="left"/>
                  </w:pPr>
                  <w:r>
                    <w:rPr>
                      <w:color w:val="FFFFFF"/>
                      <w:sz w:val="18"/>
                    </w:rPr>
                    <w:t>Principal Monitoring Tools</w:t>
                  </w:r>
                </w:p>
              </w:tc>
              <w:tc>
                <w:tcPr>
                  <w:tcW w:w="2904" w:type="dxa"/>
                  <w:tcBorders>
                    <w:top w:val="nil"/>
                    <w:left w:val="nil"/>
                    <w:bottom w:val="nil"/>
                    <w:right w:val="nil"/>
                  </w:tcBorders>
                  <w:shd w:val="clear" w:color="auto" w:fill="000000"/>
                </w:tcPr>
                <w:p w14:paraId="484F4762" w14:textId="77777777" w:rsidR="005F5683" w:rsidRDefault="00C75C6D">
                  <w:pPr>
                    <w:framePr w:wrap="around" w:vAnchor="text" w:hAnchor="margin"/>
                    <w:spacing w:after="0" w:line="259" w:lineRule="auto"/>
                    <w:ind w:left="6" w:right="0" w:firstLine="0"/>
                    <w:suppressOverlap/>
                    <w:jc w:val="left"/>
                  </w:pPr>
                  <w:r>
                    <w:rPr>
                      <w:color w:val="FFFFFF"/>
                      <w:sz w:val="18"/>
                    </w:rPr>
                    <w:t>Main Lesson</w:t>
                  </w:r>
                </w:p>
              </w:tc>
            </w:tr>
          </w:tbl>
          <w:p w14:paraId="51AB1E63" w14:textId="77777777" w:rsidR="005F5683" w:rsidRDefault="00C75C6D">
            <w:pPr>
              <w:spacing w:after="0" w:line="259" w:lineRule="auto"/>
              <w:ind w:left="120" w:right="0" w:firstLine="0"/>
              <w:jc w:val="left"/>
            </w:pPr>
            <w:r>
              <w:rPr>
                <w:noProof/>
                <w:sz w:val="22"/>
              </w:rPr>
              <mc:AlternateContent>
                <mc:Choice Requires="wpg">
                  <w:drawing>
                    <wp:inline distT="0" distB="0" distL="0" distR="0" wp14:anchorId="02904D62" wp14:editId="74F54EF6">
                      <wp:extent cx="6287491" cy="6325"/>
                      <wp:effectExtent l="0" t="0" r="0" b="0"/>
                      <wp:docPr id="10367" name="Group 10367"/>
                      <wp:cNvGraphicFramePr/>
                      <a:graphic xmlns:a="http://schemas.openxmlformats.org/drawingml/2006/main">
                        <a:graphicData uri="http://schemas.microsoft.com/office/word/2010/wordprocessingGroup">
                          <wpg:wgp>
                            <wpg:cNvGrpSpPr/>
                            <wpg:grpSpPr>
                              <a:xfrm>
                                <a:off x="0" y="0"/>
                                <a:ext cx="6287491" cy="6325"/>
                                <a:chOff x="0" y="0"/>
                                <a:chExt cx="6287491" cy="6325"/>
                              </a:xfrm>
                            </wpg:grpSpPr>
                            <wps:wsp>
                              <wps:cNvPr id="549" name="Shape 549"/>
                              <wps:cNvSpPr/>
                              <wps:spPr>
                                <a:xfrm>
                                  <a:off x="0" y="0"/>
                                  <a:ext cx="6287491" cy="0"/>
                                </a:xfrm>
                                <a:custGeom>
                                  <a:avLst/>
                                  <a:gdLst/>
                                  <a:ahLst/>
                                  <a:cxnLst/>
                                  <a:rect l="0" t="0" r="0" b="0"/>
                                  <a:pathLst>
                                    <a:path w="6287491">
                                      <a:moveTo>
                                        <a:pt x="0" y="0"/>
                                      </a:moveTo>
                                      <a:lnTo>
                                        <a:pt x="6287491" y="0"/>
                                      </a:lnTo>
                                    </a:path>
                                  </a:pathLst>
                                </a:custGeom>
                                <a:ln w="632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367" style="width:495.078pt;height:0.498pt;mso-position-horizontal-relative:char;mso-position-vertical-relative:line" coordsize="62874,63">
                      <v:shape id="Shape 549" style="position:absolute;width:62874;height:0;left:0;top:0;" coordsize="6287491,0" path="m0,0l6287491,0">
                        <v:stroke weight="0.498pt" endcap="flat" joinstyle="miter" miterlimit="10" on="true" color="#000000"/>
                        <v:fill on="false" color="#000000" opacity="0"/>
                      </v:shape>
                    </v:group>
                  </w:pict>
                </mc:Fallback>
              </mc:AlternateContent>
            </w:r>
          </w:p>
          <w:tbl>
            <w:tblPr>
              <w:tblStyle w:val="TableGrid"/>
              <w:tblW w:w="9931" w:type="dxa"/>
              <w:tblInd w:w="120" w:type="dxa"/>
              <w:tblCellMar>
                <w:top w:w="0" w:type="dxa"/>
                <w:left w:w="0" w:type="dxa"/>
                <w:bottom w:w="0" w:type="dxa"/>
                <w:right w:w="0" w:type="dxa"/>
              </w:tblCellMar>
              <w:tblLook w:val="04A0" w:firstRow="1" w:lastRow="0" w:firstColumn="1" w:lastColumn="0" w:noHBand="0" w:noVBand="1"/>
            </w:tblPr>
            <w:tblGrid>
              <w:gridCol w:w="1713"/>
              <w:gridCol w:w="2563"/>
              <w:gridCol w:w="2841"/>
              <w:gridCol w:w="2814"/>
            </w:tblGrid>
            <w:tr w:rsidR="005F5683" w14:paraId="1946DEDA" w14:textId="77777777">
              <w:trPr>
                <w:trHeight w:val="409"/>
              </w:trPr>
              <w:tc>
                <w:tcPr>
                  <w:tcW w:w="1713" w:type="dxa"/>
                  <w:tcBorders>
                    <w:top w:val="nil"/>
                    <w:left w:val="nil"/>
                    <w:bottom w:val="nil"/>
                    <w:right w:val="nil"/>
                  </w:tcBorders>
                </w:tcPr>
                <w:p w14:paraId="2CB98B3E" w14:textId="77777777" w:rsidR="005F5683" w:rsidRDefault="00C75C6D">
                  <w:pPr>
                    <w:framePr w:wrap="around" w:vAnchor="text" w:hAnchor="margin"/>
                    <w:spacing w:after="0" w:line="259" w:lineRule="auto"/>
                    <w:ind w:left="0" w:right="0" w:firstLine="0"/>
                    <w:suppressOverlap/>
                    <w:jc w:val="left"/>
                  </w:pPr>
                  <w:r>
                    <w:rPr>
                      <w:sz w:val="18"/>
                    </w:rPr>
                    <w:t>Brazilian Amazon</w:t>
                  </w:r>
                </w:p>
              </w:tc>
              <w:tc>
                <w:tcPr>
                  <w:tcW w:w="2563" w:type="dxa"/>
                  <w:tcBorders>
                    <w:top w:val="nil"/>
                    <w:left w:val="nil"/>
                    <w:bottom w:val="nil"/>
                    <w:right w:val="nil"/>
                  </w:tcBorders>
                </w:tcPr>
                <w:p w14:paraId="651F83BE" w14:textId="77777777" w:rsidR="005F5683" w:rsidRDefault="00C75C6D">
                  <w:pPr>
                    <w:framePr w:wrap="around" w:vAnchor="text" w:hAnchor="margin"/>
                    <w:spacing w:after="0" w:line="259" w:lineRule="auto"/>
                    <w:ind w:left="0" w:right="0" w:firstLine="0"/>
                    <w:suppressOverlap/>
                    <w:jc w:val="left"/>
                  </w:pPr>
                  <w:r>
                    <w:rPr>
                      <w:sz w:val="18"/>
                    </w:rPr>
                    <w:t>Cattle ranching, soy</w:t>
                  </w:r>
                </w:p>
              </w:tc>
              <w:tc>
                <w:tcPr>
                  <w:tcW w:w="2841" w:type="dxa"/>
                  <w:tcBorders>
                    <w:top w:val="nil"/>
                    <w:left w:val="nil"/>
                    <w:bottom w:val="nil"/>
                    <w:right w:val="nil"/>
                  </w:tcBorders>
                </w:tcPr>
                <w:p w14:paraId="050DEF09" w14:textId="77777777" w:rsidR="005F5683" w:rsidRDefault="00C75C6D">
                  <w:pPr>
                    <w:framePr w:wrap="around" w:vAnchor="text" w:hAnchor="margin"/>
                    <w:spacing w:after="0" w:line="259" w:lineRule="auto"/>
                    <w:ind w:left="0" w:right="0" w:firstLine="0"/>
                    <w:suppressOverlap/>
                    <w:jc w:val="left"/>
                  </w:pPr>
                  <w:r>
                    <w:rPr>
                      <w:sz w:val="18"/>
                    </w:rPr>
                    <w:t>INPE’s DETER and PRODES</w:t>
                  </w:r>
                </w:p>
              </w:tc>
              <w:tc>
                <w:tcPr>
                  <w:tcW w:w="2814" w:type="dxa"/>
                  <w:tcBorders>
                    <w:top w:val="nil"/>
                    <w:left w:val="nil"/>
                    <w:bottom w:val="nil"/>
                    <w:right w:val="nil"/>
                  </w:tcBorders>
                </w:tcPr>
                <w:p w14:paraId="0297EC0A" w14:textId="77777777" w:rsidR="005F5683" w:rsidRDefault="00C75C6D">
                  <w:pPr>
                    <w:framePr w:wrap="around" w:vAnchor="text" w:hAnchor="margin"/>
                    <w:spacing w:after="0" w:line="259" w:lineRule="auto"/>
                    <w:ind w:left="0" w:right="0" w:firstLine="6"/>
                    <w:suppressOverlap/>
                  </w:pPr>
                  <w:r>
                    <w:rPr>
                      <w:sz w:val="18"/>
                    </w:rPr>
                    <w:t>Monitoring data reduce clearing only when paired with enforcement</w:t>
                  </w:r>
                </w:p>
              </w:tc>
            </w:tr>
            <w:tr w:rsidR="005F5683" w14:paraId="127D597B" w14:textId="77777777">
              <w:trPr>
                <w:trHeight w:val="658"/>
              </w:trPr>
              <w:tc>
                <w:tcPr>
                  <w:tcW w:w="1713" w:type="dxa"/>
                  <w:tcBorders>
                    <w:top w:val="nil"/>
                    <w:left w:val="nil"/>
                    <w:bottom w:val="nil"/>
                    <w:right w:val="nil"/>
                  </w:tcBorders>
                </w:tcPr>
                <w:p w14:paraId="4EE012E9" w14:textId="77777777" w:rsidR="005F5683" w:rsidRDefault="00C75C6D">
                  <w:pPr>
                    <w:framePr w:wrap="around" w:vAnchor="text" w:hAnchor="margin"/>
                    <w:spacing w:after="0" w:line="259" w:lineRule="auto"/>
                    <w:ind w:left="0" w:right="0" w:firstLine="0"/>
                    <w:suppressOverlap/>
                    <w:jc w:val="left"/>
                  </w:pPr>
                  <w:r>
                    <w:rPr>
                      <w:sz w:val="18"/>
                    </w:rPr>
                    <w:t>Congo Basin</w:t>
                  </w:r>
                </w:p>
              </w:tc>
              <w:tc>
                <w:tcPr>
                  <w:tcW w:w="2563" w:type="dxa"/>
                  <w:tcBorders>
                    <w:top w:val="nil"/>
                    <w:left w:val="nil"/>
                    <w:bottom w:val="nil"/>
                    <w:right w:val="nil"/>
                  </w:tcBorders>
                </w:tcPr>
                <w:p w14:paraId="05424A97" w14:textId="77777777" w:rsidR="005F5683" w:rsidRDefault="00C75C6D">
                  <w:pPr>
                    <w:framePr w:wrap="around" w:vAnchor="text" w:hAnchor="margin"/>
                    <w:spacing w:after="0" w:line="259" w:lineRule="auto"/>
                    <w:ind w:left="0" w:right="0" w:firstLine="0"/>
                    <w:suppressOverlap/>
                    <w:jc w:val="left"/>
                  </w:pPr>
                  <w:r>
                    <w:rPr>
                      <w:sz w:val="18"/>
                    </w:rPr>
                    <w:t>Small-scale agriculture, charcoal, logging</w:t>
                  </w:r>
                </w:p>
              </w:tc>
              <w:tc>
                <w:tcPr>
                  <w:tcW w:w="2841" w:type="dxa"/>
                  <w:tcBorders>
                    <w:top w:val="nil"/>
                    <w:left w:val="nil"/>
                    <w:bottom w:val="nil"/>
                    <w:right w:val="nil"/>
                  </w:tcBorders>
                </w:tcPr>
                <w:p w14:paraId="5B344371" w14:textId="77777777" w:rsidR="005F5683" w:rsidRDefault="00C75C6D">
                  <w:pPr>
                    <w:framePr w:wrap="around" w:vAnchor="text" w:hAnchor="margin"/>
                    <w:spacing w:after="0" w:line="259" w:lineRule="auto"/>
                    <w:ind w:left="0" w:right="0" w:firstLine="0"/>
                    <w:suppressOverlap/>
                    <w:jc w:val="left"/>
                  </w:pPr>
                  <w:r>
                    <w:rPr>
                      <w:sz w:val="18"/>
                    </w:rPr>
                    <w:t>Radar-based RADD alerts</w:t>
                  </w:r>
                </w:p>
              </w:tc>
              <w:tc>
                <w:tcPr>
                  <w:tcW w:w="2814" w:type="dxa"/>
                  <w:tcBorders>
                    <w:top w:val="nil"/>
                    <w:left w:val="nil"/>
                    <w:bottom w:val="nil"/>
                    <w:right w:val="nil"/>
                  </w:tcBorders>
                </w:tcPr>
                <w:p w14:paraId="7F0C35EA" w14:textId="77777777" w:rsidR="005F5683" w:rsidRDefault="00C75C6D">
                  <w:pPr>
                    <w:framePr w:wrap="around" w:vAnchor="text" w:hAnchor="margin"/>
                    <w:spacing w:after="0" w:line="259" w:lineRule="auto"/>
                    <w:ind w:left="6" w:right="30" w:firstLine="0"/>
                    <w:suppressOverlap/>
                  </w:pPr>
                  <w:r>
                    <w:rPr>
                      <w:sz w:val="18"/>
                    </w:rPr>
                    <w:t>Distinguishing regenerating shifting cultivation from industrial clearing is essential</w:t>
                  </w:r>
                </w:p>
              </w:tc>
            </w:tr>
            <w:tr w:rsidR="005F5683" w14:paraId="65C0E6B3" w14:textId="77777777">
              <w:trPr>
                <w:trHeight w:val="438"/>
              </w:trPr>
              <w:tc>
                <w:tcPr>
                  <w:tcW w:w="1713" w:type="dxa"/>
                  <w:tcBorders>
                    <w:top w:val="nil"/>
                    <w:left w:val="nil"/>
                    <w:bottom w:val="nil"/>
                    <w:right w:val="nil"/>
                  </w:tcBorders>
                </w:tcPr>
                <w:p w14:paraId="6DDE86BE" w14:textId="77777777" w:rsidR="005F5683" w:rsidRDefault="00C75C6D">
                  <w:pPr>
                    <w:framePr w:wrap="around" w:vAnchor="text" w:hAnchor="margin"/>
                    <w:spacing w:after="0" w:line="259" w:lineRule="auto"/>
                    <w:ind w:left="0" w:right="0" w:firstLine="0"/>
                    <w:suppressOverlap/>
                    <w:jc w:val="left"/>
                  </w:pPr>
                  <w:r>
                    <w:rPr>
                      <w:sz w:val="18"/>
                    </w:rPr>
                    <w:t>Southeast Asia</w:t>
                  </w:r>
                </w:p>
              </w:tc>
              <w:tc>
                <w:tcPr>
                  <w:tcW w:w="2563" w:type="dxa"/>
                  <w:tcBorders>
                    <w:top w:val="nil"/>
                    <w:left w:val="nil"/>
                    <w:bottom w:val="nil"/>
                    <w:right w:val="nil"/>
                  </w:tcBorders>
                </w:tcPr>
                <w:p w14:paraId="0CE416AC" w14:textId="77777777" w:rsidR="005F5683" w:rsidRDefault="00C75C6D">
                  <w:pPr>
                    <w:framePr w:wrap="around" w:vAnchor="text" w:hAnchor="margin"/>
                    <w:spacing w:after="0" w:line="259" w:lineRule="auto"/>
                    <w:ind w:left="0" w:right="0" w:firstLine="0"/>
                    <w:suppressOverlap/>
                    <w:jc w:val="left"/>
                  </w:pPr>
                  <w:r>
                    <w:rPr>
                      <w:sz w:val="18"/>
                    </w:rPr>
                    <w:t>Palm oil expansion</w:t>
                  </w:r>
                </w:p>
              </w:tc>
              <w:tc>
                <w:tcPr>
                  <w:tcW w:w="2841" w:type="dxa"/>
                  <w:tcBorders>
                    <w:top w:val="nil"/>
                    <w:left w:val="nil"/>
                    <w:bottom w:val="nil"/>
                    <w:right w:val="nil"/>
                  </w:tcBorders>
                </w:tcPr>
                <w:p w14:paraId="25466A7A" w14:textId="77777777" w:rsidR="005F5683" w:rsidRDefault="00C75C6D">
                  <w:pPr>
                    <w:framePr w:wrap="around" w:vAnchor="text" w:hAnchor="margin"/>
                    <w:spacing w:after="0" w:line="259" w:lineRule="auto"/>
                    <w:ind w:left="0" w:right="0" w:firstLine="0"/>
                    <w:suppressOverlap/>
                  </w:pPr>
                  <w:r>
                    <w:rPr>
                      <w:sz w:val="18"/>
                    </w:rPr>
                    <w:t>Machine-learning classifiers for plantation and mill traceability</w:t>
                  </w:r>
                </w:p>
              </w:tc>
              <w:tc>
                <w:tcPr>
                  <w:tcW w:w="2814" w:type="dxa"/>
                  <w:tcBorders>
                    <w:top w:val="nil"/>
                    <w:left w:val="nil"/>
                    <w:bottom w:val="nil"/>
                    <w:right w:val="nil"/>
                  </w:tcBorders>
                </w:tcPr>
                <w:p w14:paraId="196F8152" w14:textId="77777777" w:rsidR="005F5683" w:rsidRDefault="00C75C6D">
                  <w:pPr>
                    <w:framePr w:wrap="around" w:vAnchor="text" w:hAnchor="margin"/>
                    <w:spacing w:after="0" w:line="259" w:lineRule="auto"/>
                    <w:ind w:left="6" w:right="0" w:firstLine="0"/>
                    <w:suppressOverlap/>
                    <w:jc w:val="left"/>
                  </w:pPr>
                  <w:r>
                    <w:rPr>
                      <w:sz w:val="18"/>
                    </w:rPr>
                    <w:t>Data science is becoming a compliance and supply-chain instrument</w:t>
                  </w:r>
                </w:p>
              </w:tc>
            </w:tr>
            <w:tr w:rsidR="005F5683" w14:paraId="41B7586D" w14:textId="77777777">
              <w:trPr>
                <w:trHeight w:val="628"/>
              </w:trPr>
              <w:tc>
                <w:tcPr>
                  <w:tcW w:w="1713" w:type="dxa"/>
                  <w:vMerge w:val="restart"/>
                  <w:tcBorders>
                    <w:top w:val="nil"/>
                    <w:left w:val="nil"/>
                    <w:bottom w:val="nil"/>
                    <w:right w:val="nil"/>
                  </w:tcBorders>
                </w:tcPr>
                <w:p w14:paraId="345F5EE8" w14:textId="77777777" w:rsidR="005F5683" w:rsidRDefault="00C75C6D">
                  <w:pPr>
                    <w:framePr w:wrap="around" w:vAnchor="text" w:hAnchor="margin"/>
                    <w:spacing w:after="0" w:line="259" w:lineRule="auto"/>
                    <w:ind w:left="0" w:right="0" w:firstLine="0"/>
                    <w:suppressOverlap/>
                  </w:pPr>
                  <w:r>
                    <w:rPr>
                      <w:sz w:val="18"/>
                    </w:rPr>
                    <w:t>India and the Western Ghats</w:t>
                  </w:r>
                </w:p>
              </w:tc>
              <w:tc>
                <w:tcPr>
                  <w:tcW w:w="2563" w:type="dxa"/>
                  <w:tcBorders>
                    <w:top w:val="nil"/>
                    <w:left w:val="nil"/>
                    <w:bottom w:val="nil"/>
                    <w:right w:val="nil"/>
                  </w:tcBorders>
                </w:tcPr>
                <w:p w14:paraId="49C8CA1D" w14:textId="77777777" w:rsidR="005F5683" w:rsidRDefault="00C75C6D">
                  <w:pPr>
                    <w:framePr w:wrap="around" w:vAnchor="text" w:hAnchor="margin"/>
                    <w:spacing w:after="0" w:line="259" w:lineRule="auto"/>
                    <w:ind w:left="0" w:right="0" w:firstLine="0"/>
                    <w:suppressOverlap/>
                  </w:pPr>
                  <w:r>
                    <w:rPr>
                      <w:sz w:val="18"/>
                    </w:rPr>
                    <w:t>Agriculture, plantations, infrastructure, settlement</w:t>
                  </w:r>
                </w:p>
              </w:tc>
              <w:tc>
                <w:tcPr>
                  <w:tcW w:w="2841" w:type="dxa"/>
                  <w:tcBorders>
                    <w:top w:val="nil"/>
                    <w:left w:val="nil"/>
                    <w:bottom w:val="nil"/>
                    <w:right w:val="nil"/>
                  </w:tcBorders>
                </w:tcPr>
                <w:p w14:paraId="36FEA097" w14:textId="77777777" w:rsidR="005F5683" w:rsidRDefault="00C75C6D">
                  <w:pPr>
                    <w:framePr w:wrap="around" w:vAnchor="text" w:hAnchor="margin"/>
                    <w:spacing w:after="0" w:line="259" w:lineRule="auto"/>
                    <w:ind w:left="0" w:right="0" w:firstLine="0"/>
                    <w:suppressOverlap/>
                  </w:pPr>
                  <w:r>
                    <w:rPr>
                      <w:sz w:val="18"/>
                    </w:rPr>
                    <w:t>Forest Survey of India assessments and fire alerts</w:t>
                  </w:r>
                </w:p>
              </w:tc>
              <w:tc>
                <w:tcPr>
                  <w:tcW w:w="2814" w:type="dxa"/>
                  <w:tcBorders>
                    <w:top w:val="nil"/>
                    <w:left w:val="nil"/>
                    <w:bottom w:val="nil"/>
                    <w:right w:val="nil"/>
                  </w:tcBorders>
                </w:tcPr>
                <w:p w14:paraId="61638377" w14:textId="77777777" w:rsidR="005F5683" w:rsidRDefault="00C75C6D">
                  <w:pPr>
                    <w:framePr w:wrap="around" w:vAnchor="text" w:hAnchor="margin"/>
                    <w:spacing w:after="0" w:line="259" w:lineRule="auto"/>
                    <w:ind w:left="6" w:right="0" w:firstLine="0"/>
                    <w:suppressOverlap/>
                  </w:pPr>
                  <w:r>
                    <w:rPr>
                      <w:sz w:val="18"/>
                    </w:rPr>
                    <w:t>Periodic national assessments complement alerts; cover statistics need ecological context</w:t>
                  </w:r>
                </w:p>
              </w:tc>
            </w:tr>
            <w:tr w:rsidR="005F5683" w14:paraId="0E5E6BA2" w14:textId="77777777">
              <w:trPr>
                <w:trHeight w:val="71"/>
              </w:trPr>
              <w:tc>
                <w:tcPr>
                  <w:tcW w:w="0" w:type="auto"/>
                  <w:vMerge/>
                  <w:tcBorders>
                    <w:top w:val="nil"/>
                    <w:left w:val="nil"/>
                    <w:bottom w:val="nil"/>
                    <w:right w:val="nil"/>
                  </w:tcBorders>
                </w:tcPr>
                <w:p w14:paraId="31C83287" w14:textId="77777777" w:rsidR="005F5683" w:rsidRDefault="005F5683">
                  <w:pPr>
                    <w:framePr w:wrap="around" w:vAnchor="text" w:hAnchor="margin"/>
                    <w:spacing w:after="160" w:line="259" w:lineRule="auto"/>
                    <w:ind w:left="0" w:right="0" w:firstLine="0"/>
                    <w:suppressOverlap/>
                    <w:jc w:val="left"/>
                  </w:pPr>
                </w:p>
              </w:tc>
              <w:tc>
                <w:tcPr>
                  <w:tcW w:w="8218" w:type="dxa"/>
                  <w:gridSpan w:val="3"/>
                  <w:tcBorders>
                    <w:top w:val="nil"/>
                    <w:left w:val="nil"/>
                    <w:bottom w:val="nil"/>
                    <w:right w:val="nil"/>
                  </w:tcBorders>
                  <w:vAlign w:val="bottom"/>
                </w:tcPr>
                <w:p w14:paraId="68473238" w14:textId="77777777" w:rsidR="005F5683" w:rsidRDefault="00C75C6D">
                  <w:pPr>
                    <w:framePr w:wrap="around" w:vAnchor="text" w:hAnchor="margin"/>
                    <w:spacing w:after="0" w:line="259" w:lineRule="auto"/>
                    <w:ind w:left="-1713" w:right="0" w:firstLine="0"/>
                    <w:suppressOverlap/>
                    <w:jc w:val="left"/>
                  </w:pPr>
                  <w:r>
                    <w:rPr>
                      <w:noProof/>
                      <w:sz w:val="22"/>
                    </w:rPr>
                    <mc:AlternateContent>
                      <mc:Choice Requires="wpg">
                        <w:drawing>
                          <wp:inline distT="0" distB="0" distL="0" distR="0" wp14:anchorId="01E33393" wp14:editId="043E50B8">
                            <wp:extent cx="6287491" cy="10122"/>
                            <wp:effectExtent l="0" t="0" r="0" b="0"/>
                            <wp:docPr id="11999" name="Group 11999"/>
                            <wp:cNvGraphicFramePr/>
                            <a:graphic xmlns:a="http://schemas.openxmlformats.org/drawingml/2006/main">
                              <a:graphicData uri="http://schemas.microsoft.com/office/word/2010/wordprocessingGroup">
                                <wpg:wgp>
                                  <wpg:cNvGrpSpPr/>
                                  <wpg:grpSpPr>
                                    <a:xfrm>
                                      <a:off x="0" y="0"/>
                                      <a:ext cx="6287491" cy="10122"/>
                                      <a:chOff x="0" y="0"/>
                                      <a:chExt cx="6287491" cy="10122"/>
                                    </a:xfrm>
                                  </wpg:grpSpPr>
                                  <wps:wsp>
                                    <wps:cNvPr id="574" name="Shape 574"/>
                                    <wps:cNvSpPr/>
                                    <wps:spPr>
                                      <a:xfrm>
                                        <a:off x="0" y="0"/>
                                        <a:ext cx="6287491" cy="0"/>
                                      </a:xfrm>
                                      <a:custGeom>
                                        <a:avLst/>
                                        <a:gdLst/>
                                        <a:ahLst/>
                                        <a:cxnLst/>
                                        <a:rect l="0" t="0" r="0" b="0"/>
                                        <a:pathLst>
                                          <a:path w="6287491">
                                            <a:moveTo>
                                              <a:pt x="0" y="0"/>
                                            </a:moveTo>
                                            <a:lnTo>
                                              <a:pt x="6287491" y="0"/>
                                            </a:lnTo>
                                          </a:path>
                                        </a:pathLst>
                                      </a:custGeom>
                                      <a:ln w="10122"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999" style="width:495.078pt;height:0.797pt;mso-position-horizontal-relative:char;mso-position-vertical-relative:line" coordsize="62874,101">
                            <v:shape id="Shape 574" style="position:absolute;width:62874;height:0;left:0;top:0;" coordsize="6287491,0" path="m0,0l6287491,0">
                              <v:stroke weight="0.797pt" endcap="flat" joinstyle="miter" miterlimit="10" on="true" color="#000000"/>
                              <v:fill on="false" color="#000000" opacity="0"/>
                            </v:shape>
                          </v:group>
                        </w:pict>
                      </mc:Fallback>
                    </mc:AlternateContent>
                  </w:r>
                </w:p>
              </w:tc>
            </w:tr>
          </w:tbl>
          <w:p w14:paraId="5753DECC" w14:textId="77777777" w:rsidR="005F5683" w:rsidRDefault="00C75C6D">
            <w:pPr>
              <w:spacing w:after="0" w:line="259" w:lineRule="auto"/>
              <w:ind w:left="0" w:right="6" w:firstLine="0"/>
              <w:jc w:val="center"/>
            </w:pPr>
            <w:r>
              <w:rPr>
                <w:sz w:val="18"/>
              </w:rPr>
              <w:t xml:space="preserve">Table 2. </w:t>
            </w:r>
            <w:r>
              <w:rPr>
                <w:sz w:val="18"/>
              </w:rPr>
              <w:t>Summary comparison of the four case-study regions discussed in this paper.</w:t>
            </w:r>
          </w:p>
        </w:tc>
      </w:tr>
    </w:tbl>
    <w:p w14:paraId="09DD65D9" w14:textId="77777777" w:rsidR="005F5683" w:rsidRDefault="00C75C6D">
      <w:pPr>
        <w:numPr>
          <w:ilvl w:val="0"/>
          <w:numId w:val="2"/>
        </w:numPr>
        <w:spacing w:after="75" w:line="278" w:lineRule="auto"/>
        <w:ind w:right="0" w:hanging="242"/>
        <w:jc w:val="left"/>
      </w:pPr>
      <w:r>
        <w:rPr>
          <w:sz w:val="18"/>
        </w:rPr>
        <w:t>D</w:t>
      </w:r>
      <w:r>
        <w:rPr>
          <w:sz w:val="14"/>
        </w:rPr>
        <w:t>ISCUSSION</w:t>
      </w:r>
      <w:r>
        <w:rPr>
          <w:sz w:val="18"/>
        </w:rPr>
        <w:t>: S</w:t>
      </w:r>
      <w:r>
        <w:rPr>
          <w:sz w:val="14"/>
        </w:rPr>
        <w:t>TRENGTHS</w:t>
      </w:r>
      <w:r>
        <w:rPr>
          <w:sz w:val="18"/>
        </w:rPr>
        <w:t>, L</w:t>
      </w:r>
      <w:r>
        <w:rPr>
          <w:sz w:val="14"/>
        </w:rPr>
        <w:t>IMITATIONS</w:t>
      </w:r>
      <w:r>
        <w:rPr>
          <w:sz w:val="18"/>
        </w:rPr>
        <w:t xml:space="preserve">, </w:t>
      </w:r>
      <w:r>
        <w:rPr>
          <w:sz w:val="14"/>
        </w:rPr>
        <w:t xml:space="preserve">AND </w:t>
      </w:r>
      <w:r>
        <w:rPr>
          <w:sz w:val="18"/>
        </w:rPr>
        <w:t>E</w:t>
      </w:r>
      <w:r>
        <w:rPr>
          <w:sz w:val="14"/>
        </w:rPr>
        <w:t xml:space="preserve">THICAL </w:t>
      </w:r>
      <w:r>
        <w:rPr>
          <w:sz w:val="18"/>
        </w:rPr>
        <w:t>C</w:t>
      </w:r>
      <w:r>
        <w:rPr>
          <w:sz w:val="14"/>
        </w:rPr>
        <w:t>ONSIDERATIONS</w:t>
      </w:r>
    </w:p>
    <w:p w14:paraId="0D98F90C" w14:textId="77777777" w:rsidR="005F5683" w:rsidRDefault="00C75C6D">
      <w:pPr>
        <w:spacing w:after="96" w:line="259" w:lineRule="auto"/>
        <w:ind w:left="35" w:right="0" w:hanging="10"/>
        <w:jc w:val="left"/>
      </w:pPr>
      <w:r>
        <w:rPr>
          <w:i/>
          <w:sz w:val="18"/>
        </w:rPr>
        <w:t>6.1 Strengths</w:t>
      </w:r>
    </w:p>
    <w:p w14:paraId="4096F237" w14:textId="77777777" w:rsidR="005F5683" w:rsidRDefault="00C75C6D">
      <w:pPr>
        <w:numPr>
          <w:ilvl w:val="0"/>
          <w:numId w:val="3"/>
        </w:numPr>
        <w:spacing w:after="112"/>
        <w:ind w:left="278" w:right="15" w:hanging="169"/>
      </w:pPr>
      <w:r>
        <w:t>Near-real-time alerting substantially compresses the time between forest clearance and detection, from months or years under manual review to days under automated systems.</w:t>
      </w:r>
    </w:p>
    <w:p w14:paraId="79D6EBF0" w14:textId="77777777" w:rsidR="005F5683" w:rsidRDefault="00C75C6D">
      <w:pPr>
        <w:numPr>
          <w:ilvl w:val="0"/>
          <w:numId w:val="3"/>
        </w:numPr>
        <w:spacing w:after="113" w:line="237" w:lineRule="auto"/>
        <w:ind w:left="278" w:right="15" w:hanging="169"/>
      </w:pPr>
      <w:r>
        <w:t>Planetary-scale coverage allows consistent monitoring of remote regions that are logistically difficult or dangerous to survey on foot.</w:t>
      </w:r>
    </w:p>
    <w:p w14:paraId="45264CB9" w14:textId="77777777" w:rsidR="005F5683" w:rsidRDefault="00C75C6D">
      <w:pPr>
        <w:numPr>
          <w:ilvl w:val="0"/>
          <w:numId w:val="3"/>
        </w:numPr>
        <w:spacing w:after="111"/>
        <w:ind w:left="278" w:right="15" w:hanging="169"/>
      </w:pPr>
      <w:r>
        <w:t>Predictive risk models enable proactive rather than purely reactive conservation planning.</w:t>
      </w:r>
    </w:p>
    <w:p w14:paraId="695A3CD5" w14:textId="77777777" w:rsidR="005F5683" w:rsidRDefault="00C75C6D">
      <w:pPr>
        <w:numPr>
          <w:ilvl w:val="0"/>
          <w:numId w:val="3"/>
        </w:numPr>
        <w:ind w:left="278" w:right="15" w:hanging="169"/>
      </w:pPr>
      <w:r>
        <w:t>Open data platforms have lowered the barrier to entry, allowing researchers, journalists, and civil-society organizations in low-resource settings to conduct independent analysis.</w:t>
      </w:r>
    </w:p>
    <w:p w14:paraId="45DC993C" w14:textId="77777777" w:rsidR="005F5683" w:rsidRDefault="00C75C6D">
      <w:pPr>
        <w:spacing w:after="96" w:line="259" w:lineRule="auto"/>
        <w:ind w:left="35" w:right="0" w:hanging="10"/>
        <w:jc w:val="left"/>
      </w:pPr>
      <w:r>
        <w:rPr>
          <w:i/>
          <w:sz w:val="18"/>
        </w:rPr>
        <w:t>6.2 Limitations</w:t>
      </w:r>
    </w:p>
    <w:p w14:paraId="3AEF752E" w14:textId="77777777" w:rsidR="005F5683" w:rsidRDefault="00C75C6D">
      <w:pPr>
        <w:numPr>
          <w:ilvl w:val="0"/>
          <w:numId w:val="3"/>
        </w:numPr>
        <w:spacing w:after="112"/>
        <w:ind w:left="278" w:right="15" w:hanging="169"/>
      </w:pPr>
      <w:r>
        <w:t>Satellite-derived land-cover classifications can conflate selective logging, natural disturbance, and agricultural fallow cycles, producing false positives that require field verification.</w:t>
      </w:r>
    </w:p>
    <w:p w14:paraId="0F6F2C26" w14:textId="77777777" w:rsidR="005F5683" w:rsidRDefault="00C75C6D">
      <w:pPr>
        <w:numPr>
          <w:ilvl w:val="0"/>
          <w:numId w:val="3"/>
        </w:numPr>
        <w:spacing w:after="112"/>
        <w:ind w:left="278" w:right="15" w:hanging="169"/>
      </w:pPr>
      <w:r>
        <w:t>Species distribution models depend on occurrence data that is frequently biased toward accessible, well-studied areas, which can systematically underrepresent remote or under-surveyed regions.</w:t>
      </w:r>
    </w:p>
    <w:p w14:paraId="36FD5764" w14:textId="77777777" w:rsidR="005F5683" w:rsidRDefault="00C75C6D">
      <w:pPr>
        <w:numPr>
          <w:ilvl w:val="0"/>
          <w:numId w:val="3"/>
        </w:numPr>
        <w:spacing w:after="113" w:line="237" w:lineRule="auto"/>
        <w:ind w:left="278" w:right="15" w:hanging="169"/>
      </w:pPr>
      <w:r>
        <w:lastRenderedPageBreak/>
        <w:t>Model performance validated in one biome (for example, the Amazon) does not always transfer well to ecologically distinct regions without retraining.</w:t>
      </w:r>
    </w:p>
    <w:p w14:paraId="300E69E7" w14:textId="77777777" w:rsidR="005F5683" w:rsidRDefault="00C75C6D">
      <w:pPr>
        <w:numPr>
          <w:ilvl w:val="0"/>
          <w:numId w:val="3"/>
        </w:numPr>
        <w:spacing w:after="141" w:line="237" w:lineRule="auto"/>
        <w:ind w:left="278" w:right="15" w:hanging="169"/>
      </w:pPr>
      <w:r>
        <w:t>Detection alone does not stop deforestation; alerts are only useful to the extent that enforcement institutions have the capacity and political will to act on them.</w:t>
      </w:r>
    </w:p>
    <w:p w14:paraId="34017CD7" w14:textId="77777777" w:rsidR="005F5683" w:rsidRDefault="00C75C6D">
      <w:pPr>
        <w:numPr>
          <w:ilvl w:val="1"/>
          <w:numId w:val="4"/>
        </w:numPr>
        <w:spacing w:after="69" w:line="259" w:lineRule="auto"/>
        <w:ind w:right="0" w:hanging="314"/>
        <w:jc w:val="left"/>
      </w:pPr>
      <w:r>
        <w:rPr>
          <w:i/>
          <w:sz w:val="18"/>
        </w:rPr>
        <w:t>Ethical and Governance Considerations</w:t>
      </w:r>
    </w:p>
    <w:p w14:paraId="381F073E" w14:textId="77777777" w:rsidR="005F5683" w:rsidRDefault="00C75C6D">
      <w:pPr>
        <w:ind w:left="23" w:right="15"/>
      </w:pPr>
      <w:r>
        <w:t>The use of high-resolution monitoring data raises governance questions that are distinct from its technical accuracy. Detailed land-use data can be used to support indigenous and community land rights, but similar data could in principle be misused for surveillance of small-scale or subsistence land users whose activity is often ecologically minor compared to industrial drivers. Effective deployment of these systems therefore requires attention to who controls the data, how alerts are prioritized, and wheth</w:t>
      </w:r>
      <w:r>
        <w:t>er affected communities are included as partners in monitoring and enforcement rather than treated solely as subjects of surveillance.</w:t>
      </w:r>
    </w:p>
    <w:p w14:paraId="1965A5C6" w14:textId="77777777" w:rsidR="005F5683" w:rsidRDefault="00C75C6D">
      <w:pPr>
        <w:numPr>
          <w:ilvl w:val="1"/>
          <w:numId w:val="4"/>
        </w:numPr>
        <w:spacing w:after="69" w:line="259" w:lineRule="auto"/>
        <w:ind w:right="0" w:hanging="314"/>
        <w:jc w:val="left"/>
      </w:pPr>
      <w:r>
        <w:rPr>
          <w:i/>
          <w:sz w:val="18"/>
        </w:rPr>
        <w:t>Future Directions</w:t>
      </w:r>
    </w:p>
    <w:p w14:paraId="6B956502" w14:textId="77777777" w:rsidR="005F5683" w:rsidRDefault="00C75C6D">
      <w:pPr>
        <w:ind w:left="23" w:right="15"/>
      </w:pPr>
      <w:r>
        <w:t>Several developments are likely to shape the next stage of this field. First, large pretrained models for Earth observation, trained on vast archives of multi-sensor imagery, may reduce the amount of labeled data needed to adapt a monitoring system to a new region, which would be particularly valuable for data-poor landscapes. Second, closer coupling between deforestation detection and biodiversity indicators, for instance by combining alerts with acoustic, camera-trap, and eDNA data, would allow conservati</w:t>
      </w:r>
      <w:r>
        <w:t>on programs to be evaluated against species outcomes rather than forest area alone. Third, causal inference methods applied to observational data, such as matching and synthetic-control designs, can help determine whether protected areas, enforcement campaigns, and sourcing commitments genuinely avoid clearing rather than merely displacing it to other locations. Fourth, there is a continuing need for open, well-documented, and regularly updated reference datasets, as well as sustained funding for the public</w:t>
      </w:r>
      <w:r>
        <w:t xml:space="preserve"> satellite missions on which most current analyses depend. Finally, because computationally intensive models carry their own energy costs, there is growing interest in efficient methods whose environmental footprint is proportionate to the conservation benefit they deliver.</w:t>
      </w:r>
    </w:p>
    <w:p w14:paraId="5D50F3E3" w14:textId="77777777" w:rsidR="005F5683" w:rsidRDefault="00C75C6D">
      <w:pPr>
        <w:numPr>
          <w:ilvl w:val="1"/>
          <w:numId w:val="4"/>
        </w:numPr>
        <w:spacing w:after="69" w:line="259" w:lineRule="auto"/>
        <w:ind w:right="0" w:hanging="314"/>
        <w:jc w:val="left"/>
      </w:pPr>
      <w:r>
        <w:rPr>
          <w:i/>
          <w:sz w:val="18"/>
        </w:rPr>
        <w:t>Practical Recommendations</w:t>
      </w:r>
    </w:p>
    <w:p w14:paraId="05A9368B" w14:textId="77777777" w:rsidR="005F5683" w:rsidRDefault="00C75C6D">
      <w:pPr>
        <w:spacing w:after="218"/>
        <w:ind w:left="23" w:right="15"/>
      </w:pPr>
      <w:r>
        <w:t xml:space="preserve">Drawing together the preceding sections, a small number of practical principles emerge for organizations seeking to apply data science to conservation. Alert systems should be designed around the decisions that rangers, regulators, and companies actually need to make, with clear prioritization and confidence levels rather than undifferentiated lists of detections. Models should be validated in the region of </w:t>
      </w:r>
      <w:r>
        <w:t xml:space="preserve">intended use, with uncertainty reported openly. Datasets and code should be shared where possible so that independent groups </w:t>
      </w:r>
      <w:r>
        <w:t>can verify results. Local and indigenous communities should be involved in setting monitoring priorities and should have access to the data about their own territories. Finally, monitoring programs should be evaluated by their downstream effect on forest cover and species outcomes, not only by their technical performance.</w:t>
      </w:r>
    </w:p>
    <w:p w14:paraId="479E1543" w14:textId="77777777" w:rsidR="005F5683" w:rsidRDefault="00C75C6D">
      <w:pPr>
        <w:pStyle w:val="Heading1"/>
        <w:ind w:left="17" w:right="0"/>
      </w:pPr>
      <w:r>
        <w:rPr>
          <w:sz w:val="18"/>
        </w:rPr>
        <w:t>7. C</w:t>
      </w:r>
      <w:r>
        <w:t>ONCLUSION</w:t>
      </w:r>
    </w:p>
    <w:p w14:paraId="16A28FF9" w14:textId="77777777" w:rsidR="005F5683" w:rsidRDefault="00C75C6D">
      <w:pPr>
        <w:spacing w:after="198"/>
        <w:ind w:left="23" w:right="15"/>
      </w:pPr>
      <w:r>
        <w:t>Data science has meaningfully expanded the toolkit available for detecting deforestation and understanding its consequences for biodiversity, moving conservation monitoring from sparse, retrospective assessment toward continuous, nearreal-time observation at planetary scale. Machine learning classification, change detection, predictive risk modeling, and prioritization algorithms each address a distinct part of the conservation pipeline, from identifying where forest is being lost to determining where limit</w:t>
      </w:r>
      <w:r>
        <w:t>ed resources will do the most good. However, the evidence from case studies such as the Brazilian Amazon makes clear that technical capability is necessary but not sufficient: monitoring systems produce conservation outcomes only when paired with enforcement capacity, supportive policy, and engagement with the communities who live in and depend on these landscapes. Future progress is likely to depend as much on institutional and governance innovation as on further gains in model accuracy or satellite resolu</w:t>
      </w:r>
      <w:r>
        <w:t>tion.</w:t>
      </w:r>
    </w:p>
    <w:p w14:paraId="7579F4C2" w14:textId="77777777" w:rsidR="005F5683" w:rsidRDefault="00C75C6D">
      <w:pPr>
        <w:pStyle w:val="Heading1"/>
        <w:spacing w:after="69"/>
        <w:ind w:left="17" w:right="0"/>
      </w:pPr>
      <w:r>
        <w:rPr>
          <w:sz w:val="18"/>
        </w:rPr>
        <w:t>R</w:t>
      </w:r>
      <w:r>
        <w:t>EFERENCES</w:t>
      </w:r>
    </w:p>
    <w:p w14:paraId="62AFA43F" w14:textId="77777777" w:rsidR="005F5683" w:rsidRDefault="00C75C6D">
      <w:pPr>
        <w:spacing w:after="118" w:line="250" w:lineRule="auto"/>
        <w:ind w:left="-15" w:right="0" w:firstLine="0"/>
      </w:pPr>
      <w:r>
        <w:rPr>
          <w:i/>
          <w:sz w:val="18"/>
        </w:rPr>
        <w:t>Note: This paper is a synthesis for educational purposes. For a submission-ready manuscript, replace the illustrative references below with verified citations in your required style (APA, MLA, or Chicago), drawn directly from the primary sources.</w:t>
      </w:r>
    </w:p>
    <w:p w14:paraId="073CE2C7" w14:textId="77777777" w:rsidR="005F5683" w:rsidRDefault="00C75C6D">
      <w:pPr>
        <w:numPr>
          <w:ilvl w:val="0"/>
          <w:numId w:val="5"/>
        </w:numPr>
        <w:spacing w:after="75" w:line="250" w:lineRule="auto"/>
        <w:ind w:right="0" w:hanging="398"/>
      </w:pPr>
      <w:r>
        <w:rPr>
          <w:sz w:val="18"/>
        </w:rPr>
        <w:t xml:space="preserve">Food and Agriculture Organization of the United Nations. </w:t>
      </w:r>
      <w:r>
        <w:rPr>
          <w:i/>
          <w:sz w:val="18"/>
        </w:rPr>
        <w:t>Global Forest Resources Assessment</w:t>
      </w:r>
      <w:r>
        <w:rPr>
          <w:sz w:val="18"/>
        </w:rPr>
        <w:t>. FAO Forestry Series.</w:t>
      </w:r>
    </w:p>
    <w:p w14:paraId="45D49042" w14:textId="77777777" w:rsidR="005F5683" w:rsidRDefault="00C75C6D">
      <w:pPr>
        <w:numPr>
          <w:ilvl w:val="0"/>
          <w:numId w:val="5"/>
        </w:numPr>
        <w:spacing w:after="75" w:line="250" w:lineRule="auto"/>
        <w:ind w:right="0" w:hanging="398"/>
      </w:pPr>
      <w:r>
        <w:rPr>
          <w:sz w:val="18"/>
        </w:rPr>
        <w:t xml:space="preserve">Global Forest Watch / World Resources Institute. </w:t>
      </w:r>
      <w:r>
        <w:rPr>
          <w:i/>
          <w:sz w:val="18"/>
        </w:rPr>
        <w:t>GLAD and RADD Deforestation Alerts</w:t>
      </w:r>
      <w:r>
        <w:rPr>
          <w:sz w:val="18"/>
        </w:rPr>
        <w:t>. World Resources Institute.</w:t>
      </w:r>
    </w:p>
    <w:p w14:paraId="06AF1503" w14:textId="77777777" w:rsidR="005F5683" w:rsidRDefault="00C75C6D">
      <w:pPr>
        <w:numPr>
          <w:ilvl w:val="0"/>
          <w:numId w:val="5"/>
        </w:numPr>
        <w:spacing w:after="76" w:line="250" w:lineRule="auto"/>
        <w:ind w:right="0" w:hanging="398"/>
      </w:pPr>
      <w:r>
        <w:rPr>
          <w:sz w:val="18"/>
        </w:rPr>
        <w:t xml:space="preserve">Hansen, M. C., et al. </w:t>
      </w:r>
      <w:r>
        <w:rPr>
          <w:i/>
          <w:sz w:val="18"/>
        </w:rPr>
        <w:t>High-Resolution Global Maps of 21stCentury Forest Cover Change</w:t>
      </w:r>
      <w:r>
        <w:rPr>
          <w:sz w:val="18"/>
        </w:rPr>
        <w:t>. Science.</w:t>
      </w:r>
    </w:p>
    <w:p w14:paraId="05C5D030" w14:textId="77777777" w:rsidR="005F5683" w:rsidRDefault="00C75C6D">
      <w:pPr>
        <w:numPr>
          <w:ilvl w:val="0"/>
          <w:numId w:val="5"/>
        </w:numPr>
        <w:spacing w:after="76" w:line="250" w:lineRule="auto"/>
        <w:ind w:right="0" w:hanging="398"/>
      </w:pPr>
      <w:r>
        <w:rPr>
          <w:sz w:val="18"/>
        </w:rPr>
        <w:t xml:space="preserve">Instituto Nacional de Pesquisas Espaciais (INPE). </w:t>
      </w:r>
      <w:r>
        <w:rPr>
          <w:i/>
          <w:sz w:val="18"/>
        </w:rPr>
        <w:t>PRODES and DETER Amazon Deforestation Monitoring Programs</w:t>
      </w:r>
      <w:r>
        <w:rPr>
          <w:sz w:val="18"/>
        </w:rPr>
        <w:t>.</w:t>
      </w:r>
    </w:p>
    <w:p w14:paraId="10D0687A" w14:textId="77777777" w:rsidR="005F5683" w:rsidRDefault="00C75C6D">
      <w:pPr>
        <w:numPr>
          <w:ilvl w:val="0"/>
          <w:numId w:val="5"/>
        </w:numPr>
        <w:spacing w:after="75" w:line="250" w:lineRule="auto"/>
        <w:ind w:right="0" w:hanging="398"/>
      </w:pPr>
      <w:r>
        <w:rPr>
          <w:sz w:val="18"/>
        </w:rPr>
        <w:t xml:space="preserve">International Union for Conservation of Nature (IUCN). </w:t>
      </w:r>
      <w:r>
        <w:rPr>
          <w:i/>
          <w:sz w:val="18"/>
        </w:rPr>
        <w:t>The IUCN Red List of Threatened Species</w:t>
      </w:r>
      <w:r>
        <w:rPr>
          <w:sz w:val="18"/>
        </w:rPr>
        <w:t>.</w:t>
      </w:r>
    </w:p>
    <w:p w14:paraId="2644DC26" w14:textId="77777777" w:rsidR="005F5683" w:rsidRDefault="00C75C6D">
      <w:pPr>
        <w:numPr>
          <w:ilvl w:val="0"/>
          <w:numId w:val="5"/>
        </w:numPr>
        <w:spacing w:after="75" w:line="250" w:lineRule="auto"/>
        <w:ind w:right="0" w:hanging="398"/>
      </w:pPr>
      <w:r>
        <w:rPr>
          <w:sz w:val="18"/>
        </w:rPr>
        <w:t xml:space="preserve">Phillips, S. J., Anderson, R. P., and Schapire, R. E. </w:t>
      </w:r>
      <w:r>
        <w:rPr>
          <w:i/>
          <w:sz w:val="18"/>
        </w:rPr>
        <w:t>Maximum Entropy Modeling of Species Geographic Distributions</w:t>
      </w:r>
      <w:r>
        <w:rPr>
          <w:sz w:val="18"/>
        </w:rPr>
        <w:t>. Ecological Modelling.</w:t>
      </w:r>
    </w:p>
    <w:p w14:paraId="3ABE70C0" w14:textId="77777777" w:rsidR="005F5683" w:rsidRDefault="00C75C6D">
      <w:pPr>
        <w:numPr>
          <w:ilvl w:val="0"/>
          <w:numId w:val="5"/>
        </w:numPr>
        <w:spacing w:after="76" w:line="250" w:lineRule="auto"/>
        <w:ind w:right="0" w:hanging="398"/>
      </w:pPr>
      <w:r>
        <w:rPr>
          <w:sz w:val="18"/>
        </w:rPr>
        <w:t xml:space="preserve">Pimm, S. L., et al. </w:t>
      </w:r>
      <w:r>
        <w:rPr>
          <w:i/>
          <w:sz w:val="18"/>
        </w:rPr>
        <w:t>The Biodiversity of Species and Their Rates of Extinction, Distribution, and Protection</w:t>
      </w:r>
      <w:r>
        <w:rPr>
          <w:sz w:val="18"/>
        </w:rPr>
        <w:t>. Science.</w:t>
      </w:r>
    </w:p>
    <w:p w14:paraId="36F85283" w14:textId="77777777" w:rsidR="005F5683" w:rsidRDefault="00C75C6D">
      <w:pPr>
        <w:numPr>
          <w:ilvl w:val="0"/>
          <w:numId w:val="5"/>
        </w:numPr>
        <w:spacing w:after="75" w:line="250" w:lineRule="auto"/>
        <w:ind w:right="0" w:hanging="398"/>
      </w:pPr>
      <w:r>
        <w:rPr>
          <w:sz w:val="18"/>
        </w:rPr>
        <w:t xml:space="preserve">Global Biodiversity Information Facility (GBIF). </w:t>
      </w:r>
      <w:r>
        <w:rPr>
          <w:i/>
          <w:sz w:val="18"/>
        </w:rPr>
        <w:t>Occurrence Data Portal</w:t>
      </w:r>
      <w:r>
        <w:rPr>
          <w:sz w:val="18"/>
        </w:rPr>
        <w:t>.</w:t>
      </w:r>
    </w:p>
    <w:p w14:paraId="6F82407B" w14:textId="77777777" w:rsidR="005F5683" w:rsidRDefault="00C75C6D">
      <w:pPr>
        <w:numPr>
          <w:ilvl w:val="0"/>
          <w:numId w:val="5"/>
        </w:numPr>
        <w:spacing w:after="73" w:line="249" w:lineRule="auto"/>
        <w:ind w:right="0" w:hanging="398"/>
      </w:pPr>
      <w:r>
        <w:rPr>
          <w:sz w:val="18"/>
        </w:rPr>
        <w:lastRenderedPageBreak/>
        <w:t xml:space="preserve">Geist, H. J., and Lambin, E. F. </w:t>
      </w:r>
      <w:r>
        <w:rPr>
          <w:i/>
          <w:sz w:val="18"/>
        </w:rPr>
        <w:t>Proximate Causes and Underlying Driving Forces of Tropical Deforestation</w:t>
      </w:r>
      <w:r>
        <w:rPr>
          <w:sz w:val="18"/>
        </w:rPr>
        <w:t>. BioScience.</w:t>
      </w:r>
    </w:p>
    <w:p w14:paraId="72F0A72A" w14:textId="77777777" w:rsidR="005F5683" w:rsidRDefault="00C75C6D">
      <w:pPr>
        <w:numPr>
          <w:ilvl w:val="0"/>
          <w:numId w:val="5"/>
        </w:numPr>
        <w:spacing w:after="75" w:line="250" w:lineRule="auto"/>
        <w:ind w:right="0" w:hanging="398"/>
      </w:pPr>
      <w:r>
        <w:rPr>
          <w:sz w:val="18"/>
        </w:rPr>
        <w:t xml:space="preserve">Tilman, D., May, R. M., Lehman, C. L., and Nowak, M. A. </w:t>
      </w:r>
      <w:r>
        <w:rPr>
          <w:i/>
          <w:sz w:val="18"/>
        </w:rPr>
        <w:t>Habitat Destruction and the Extinction Debt</w:t>
      </w:r>
      <w:r>
        <w:rPr>
          <w:sz w:val="18"/>
        </w:rPr>
        <w:t>. Nature.</w:t>
      </w:r>
    </w:p>
    <w:p w14:paraId="1549F976" w14:textId="77777777" w:rsidR="005F5683" w:rsidRDefault="00C75C6D">
      <w:pPr>
        <w:numPr>
          <w:ilvl w:val="0"/>
          <w:numId w:val="5"/>
        </w:numPr>
        <w:spacing w:after="76" w:line="250" w:lineRule="auto"/>
        <w:ind w:right="0" w:hanging="398"/>
      </w:pPr>
      <w:r>
        <w:rPr>
          <w:sz w:val="18"/>
        </w:rPr>
        <w:t xml:space="preserve">Myers, N., et al. </w:t>
      </w:r>
      <w:r>
        <w:rPr>
          <w:i/>
          <w:sz w:val="18"/>
        </w:rPr>
        <w:t>Biodiversity Hotspots for Conservation Priorities</w:t>
      </w:r>
      <w:r>
        <w:rPr>
          <w:sz w:val="18"/>
        </w:rPr>
        <w:t>. Nature.</w:t>
      </w:r>
    </w:p>
    <w:p w14:paraId="51F3D971" w14:textId="77777777" w:rsidR="005F5683" w:rsidRDefault="00C75C6D">
      <w:pPr>
        <w:numPr>
          <w:ilvl w:val="0"/>
          <w:numId w:val="5"/>
        </w:numPr>
        <w:spacing w:after="75" w:line="250" w:lineRule="auto"/>
        <w:ind w:right="0" w:hanging="398"/>
      </w:pPr>
      <w:r>
        <w:rPr>
          <w:sz w:val="18"/>
        </w:rPr>
        <w:t xml:space="preserve">Margules, C. R., and Pressey, R. L. </w:t>
      </w:r>
      <w:r>
        <w:rPr>
          <w:i/>
          <w:sz w:val="18"/>
        </w:rPr>
        <w:t>Systematic Conservation Planning</w:t>
      </w:r>
      <w:r>
        <w:rPr>
          <w:sz w:val="18"/>
        </w:rPr>
        <w:t>. Nature.</w:t>
      </w:r>
    </w:p>
    <w:p w14:paraId="12E99906" w14:textId="77777777" w:rsidR="005F5683" w:rsidRDefault="00C75C6D">
      <w:pPr>
        <w:numPr>
          <w:ilvl w:val="0"/>
          <w:numId w:val="5"/>
        </w:numPr>
        <w:spacing w:after="76" w:line="250" w:lineRule="auto"/>
        <w:ind w:right="0" w:hanging="398"/>
      </w:pPr>
      <w:r>
        <w:rPr>
          <w:sz w:val="18"/>
        </w:rPr>
        <w:t xml:space="preserve">Gorelick, N., et al. </w:t>
      </w:r>
      <w:r>
        <w:rPr>
          <w:i/>
          <w:sz w:val="18"/>
        </w:rPr>
        <w:t>Google Earth Engine: Planetary-Scale Geospatial Analysis for Everyone</w:t>
      </w:r>
      <w:r>
        <w:rPr>
          <w:sz w:val="18"/>
        </w:rPr>
        <w:t>. Remote Sensing of Environment.</w:t>
      </w:r>
    </w:p>
    <w:p w14:paraId="26A02DE8" w14:textId="77777777" w:rsidR="005F5683" w:rsidRDefault="00C75C6D">
      <w:pPr>
        <w:numPr>
          <w:ilvl w:val="0"/>
          <w:numId w:val="5"/>
        </w:numPr>
        <w:spacing w:after="75" w:line="250" w:lineRule="auto"/>
        <w:ind w:right="0" w:hanging="398"/>
      </w:pPr>
      <w:r>
        <w:rPr>
          <w:sz w:val="18"/>
        </w:rPr>
        <w:t xml:space="preserve">Hansen, M. C., et al. </w:t>
      </w:r>
      <w:r>
        <w:rPr>
          <w:i/>
          <w:sz w:val="18"/>
        </w:rPr>
        <w:t>Humid Tropical Forest Disturbance Alerts Using Landsat Data</w:t>
      </w:r>
      <w:r>
        <w:rPr>
          <w:sz w:val="18"/>
        </w:rPr>
        <w:t>. Environmental Research Letters.</w:t>
      </w:r>
    </w:p>
    <w:p w14:paraId="6A0DF5FE" w14:textId="77777777" w:rsidR="005F5683" w:rsidRDefault="00C75C6D">
      <w:pPr>
        <w:numPr>
          <w:ilvl w:val="0"/>
          <w:numId w:val="5"/>
        </w:numPr>
        <w:spacing w:after="76" w:line="250" w:lineRule="auto"/>
        <w:ind w:right="0" w:hanging="398"/>
      </w:pPr>
      <w:r>
        <w:rPr>
          <w:sz w:val="18"/>
        </w:rPr>
        <w:t xml:space="preserve">Reiche, J., et al. </w:t>
      </w:r>
      <w:r>
        <w:rPr>
          <w:i/>
          <w:sz w:val="18"/>
        </w:rPr>
        <w:t>Forest Disturbance Alerts for the Congo Basin Using Sentinel-1</w:t>
      </w:r>
      <w:r>
        <w:rPr>
          <w:sz w:val="18"/>
        </w:rPr>
        <w:t>. Environmental Research Letters.</w:t>
      </w:r>
    </w:p>
    <w:p w14:paraId="34A313E0" w14:textId="77777777" w:rsidR="005F5683" w:rsidRDefault="00C75C6D">
      <w:pPr>
        <w:numPr>
          <w:ilvl w:val="0"/>
          <w:numId w:val="5"/>
        </w:numPr>
        <w:spacing w:after="75" w:line="250" w:lineRule="auto"/>
        <w:ind w:right="0" w:hanging="398"/>
      </w:pPr>
      <w:r>
        <w:rPr>
          <w:sz w:val="18"/>
        </w:rPr>
        <w:t xml:space="preserve">Ronneberger, O., Fischer, P., and Brox, T. </w:t>
      </w:r>
      <w:r>
        <w:rPr>
          <w:i/>
          <w:sz w:val="18"/>
        </w:rPr>
        <w:t>U-Net: Convolutional Networks for Biomedical Image Segmentation</w:t>
      </w:r>
      <w:r>
        <w:rPr>
          <w:sz w:val="18"/>
        </w:rPr>
        <w:t>. Medical Image Computing and Computer-Assisted Intervention (MICCAI).</w:t>
      </w:r>
    </w:p>
    <w:p w14:paraId="6F3E42DA" w14:textId="77777777" w:rsidR="005F5683" w:rsidRDefault="00C75C6D">
      <w:pPr>
        <w:numPr>
          <w:ilvl w:val="0"/>
          <w:numId w:val="5"/>
        </w:numPr>
        <w:spacing w:after="76" w:line="250" w:lineRule="auto"/>
        <w:ind w:right="0" w:hanging="398"/>
      </w:pPr>
      <w:r>
        <w:rPr>
          <w:sz w:val="18"/>
        </w:rPr>
        <w:t xml:space="preserve">Dubayah, R., et al. </w:t>
      </w:r>
      <w:r>
        <w:rPr>
          <w:i/>
          <w:sz w:val="18"/>
        </w:rPr>
        <w:t>The Global Ecosystem Dynamics Investigation: High-Resolution Laser Ranging of the Earth’s Forests and Topography</w:t>
      </w:r>
      <w:r>
        <w:rPr>
          <w:sz w:val="18"/>
        </w:rPr>
        <w:t>. Science of Remote Sensing.</w:t>
      </w:r>
    </w:p>
    <w:p w14:paraId="4297942A" w14:textId="77777777" w:rsidR="005F5683" w:rsidRDefault="00C75C6D">
      <w:pPr>
        <w:numPr>
          <w:ilvl w:val="0"/>
          <w:numId w:val="5"/>
        </w:numPr>
        <w:spacing w:after="0" w:line="250" w:lineRule="auto"/>
        <w:ind w:right="0" w:hanging="398"/>
      </w:pPr>
      <w:r>
        <w:rPr>
          <w:sz w:val="18"/>
        </w:rPr>
        <w:t xml:space="preserve">Forest Survey of India. </w:t>
      </w:r>
      <w:r>
        <w:rPr>
          <w:i/>
          <w:sz w:val="18"/>
        </w:rPr>
        <w:t>India State of Forest Report</w:t>
      </w:r>
      <w:r>
        <w:rPr>
          <w:sz w:val="18"/>
        </w:rPr>
        <w:t>. Ministry of Environment, Forest and Climate Change, Government of</w:t>
      </w:r>
    </w:p>
    <w:p w14:paraId="4C1BE98C" w14:textId="77777777" w:rsidR="005F5683" w:rsidRDefault="00C75C6D">
      <w:pPr>
        <w:spacing w:after="75" w:line="250" w:lineRule="auto"/>
        <w:ind w:left="398" w:right="0" w:firstLine="0"/>
      </w:pPr>
      <w:r>
        <w:rPr>
          <w:sz w:val="18"/>
        </w:rPr>
        <w:t>India.</w:t>
      </w:r>
    </w:p>
    <w:p w14:paraId="65DB74FA" w14:textId="77777777" w:rsidR="005F5683" w:rsidRDefault="00C75C6D">
      <w:pPr>
        <w:numPr>
          <w:ilvl w:val="0"/>
          <w:numId w:val="5"/>
        </w:numPr>
        <w:spacing w:after="75" w:line="250" w:lineRule="auto"/>
        <w:ind w:right="0" w:hanging="398"/>
      </w:pPr>
      <w:r>
        <w:rPr>
          <w:sz w:val="18"/>
        </w:rPr>
        <w:t xml:space="preserve">Secretariat of the Convention on Biological Diversity. </w:t>
      </w:r>
      <w:r>
        <w:rPr>
          <w:i/>
          <w:sz w:val="18"/>
        </w:rPr>
        <w:t>KunmingMontreal Global Biodiversity Framework</w:t>
      </w:r>
      <w:r>
        <w:rPr>
          <w:sz w:val="18"/>
        </w:rPr>
        <w:t>. United Nations Environment Programme.</w:t>
      </w:r>
    </w:p>
    <w:sectPr w:rsidR="005F5683">
      <w:type w:val="continuous"/>
      <w:pgSz w:w="12240" w:h="15840"/>
      <w:pgMar w:top="1304" w:right="1045" w:bottom="1258" w:left="1040" w:header="720" w:footer="720" w:gutter="0"/>
      <w:cols w:num="2" w:space="3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3D26D" w14:textId="77777777" w:rsidR="00C75C6D" w:rsidRDefault="00C75C6D">
      <w:pPr>
        <w:spacing w:after="0" w:line="240" w:lineRule="auto"/>
      </w:pPr>
      <w:r>
        <w:separator/>
      </w:r>
    </w:p>
  </w:endnote>
  <w:endnote w:type="continuationSeparator" w:id="0">
    <w:p w14:paraId="6D8BAA50" w14:textId="77777777" w:rsidR="00C75C6D" w:rsidRDefault="00C75C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92A73" w14:textId="77777777" w:rsidR="005F5683" w:rsidRDefault="00C75C6D">
    <w:pPr>
      <w:spacing w:after="0" w:line="259" w:lineRule="auto"/>
      <w:ind w:left="0" w:right="57" w:firstLine="0"/>
      <w:jc w:val="center"/>
    </w:pPr>
    <w:r>
      <w:fldChar w:fldCharType="begin"/>
    </w:r>
    <w:r>
      <w:instrText xml:space="preserve"> PAGE   \* MERGEFORMAT </w:instrText>
    </w:r>
    <w:r>
      <w:fldChar w:fldCharType="separate"/>
    </w:r>
    <w:r>
      <w:rPr>
        <w:sz w:val="18"/>
      </w:rPr>
      <w:t>2</w:t>
    </w:r>
    <w:r>
      <w:rPr>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6A4D3" w14:textId="77777777" w:rsidR="005F5683" w:rsidRDefault="00C75C6D">
    <w:pPr>
      <w:spacing w:after="0" w:line="259" w:lineRule="auto"/>
      <w:ind w:left="0" w:right="57" w:firstLine="0"/>
      <w:jc w:val="center"/>
    </w:pPr>
    <w:r>
      <w:fldChar w:fldCharType="begin"/>
    </w:r>
    <w:r>
      <w:instrText xml:space="preserve"> PAGE   \* MERGEFORMAT </w:instrText>
    </w:r>
    <w:r>
      <w:fldChar w:fldCharType="separate"/>
    </w:r>
    <w:r>
      <w:rPr>
        <w:sz w:val="18"/>
      </w:rPr>
      <w:t>2</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C0A5B" w14:textId="77777777" w:rsidR="005F5683" w:rsidRDefault="005F5683">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5607C" w14:textId="77777777" w:rsidR="00C75C6D" w:rsidRDefault="00C75C6D">
      <w:pPr>
        <w:spacing w:after="0" w:line="240" w:lineRule="auto"/>
      </w:pPr>
      <w:r>
        <w:separator/>
      </w:r>
    </w:p>
  </w:footnote>
  <w:footnote w:type="continuationSeparator" w:id="0">
    <w:p w14:paraId="77452D60" w14:textId="77777777" w:rsidR="00C75C6D" w:rsidRDefault="00C75C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EC3EF" w14:textId="77777777" w:rsidR="005F5683" w:rsidRDefault="00C75C6D">
    <w:pPr>
      <w:tabs>
        <w:tab w:val="right" w:pos="10168"/>
      </w:tabs>
      <w:spacing w:after="0" w:line="259" w:lineRule="auto"/>
      <w:ind w:left="0" w:right="0" w:firstLine="0"/>
      <w:jc w:val="left"/>
    </w:pPr>
    <w:r>
      <w:rPr>
        <w:noProof/>
        <w:sz w:val="22"/>
      </w:rPr>
      <mc:AlternateContent>
        <mc:Choice Requires="wpg">
          <w:drawing>
            <wp:anchor distT="0" distB="0" distL="114300" distR="114300" simplePos="0" relativeHeight="251658240" behindDoc="0" locked="0" layoutInCell="1" allowOverlap="1" wp14:anchorId="50AC57CC" wp14:editId="7EB101C6">
              <wp:simplePos x="0" y="0"/>
              <wp:positionH relativeFrom="page">
                <wp:posOffset>685800</wp:posOffset>
              </wp:positionH>
              <wp:positionV relativeFrom="page">
                <wp:posOffset>509168</wp:posOffset>
              </wp:positionV>
              <wp:extent cx="6400800" cy="5055"/>
              <wp:effectExtent l="0" t="0" r="0" b="0"/>
              <wp:wrapSquare wrapText="bothSides"/>
              <wp:docPr id="12513" name="Group 12513"/>
              <wp:cNvGraphicFramePr/>
              <a:graphic xmlns:a="http://schemas.openxmlformats.org/drawingml/2006/main">
                <a:graphicData uri="http://schemas.microsoft.com/office/word/2010/wordprocessingGroup">
                  <wpg:wgp>
                    <wpg:cNvGrpSpPr/>
                    <wpg:grpSpPr>
                      <a:xfrm>
                        <a:off x="0" y="0"/>
                        <a:ext cx="6400800" cy="5055"/>
                        <a:chOff x="0" y="0"/>
                        <a:chExt cx="6400800" cy="5055"/>
                      </a:xfrm>
                    </wpg:grpSpPr>
                    <wps:wsp>
                      <wps:cNvPr id="12514" name="Shape 12514"/>
                      <wps:cNvSpPr/>
                      <wps:spPr>
                        <a:xfrm>
                          <a:off x="0" y="0"/>
                          <a:ext cx="6400800" cy="0"/>
                        </a:xfrm>
                        <a:custGeom>
                          <a:avLst/>
                          <a:gdLst/>
                          <a:ahLst/>
                          <a:cxnLst/>
                          <a:rect l="0" t="0" r="0" b="0"/>
                          <a:pathLst>
                            <a:path w="6400800">
                              <a:moveTo>
                                <a:pt x="0" y="0"/>
                              </a:moveTo>
                              <a:lnTo>
                                <a:pt x="6400800" y="0"/>
                              </a:lnTo>
                            </a:path>
                          </a:pathLst>
                        </a:custGeom>
                        <a:ln w="505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2513" style="width:504pt;height:0.398pt;position:absolute;mso-position-horizontal-relative:page;mso-position-horizontal:absolute;margin-left:54pt;mso-position-vertical-relative:page;margin-top:40.092pt;" coordsize="64008,50">
              <v:shape id="Shape 12514" style="position:absolute;width:64008;height:0;left:0;top:0;" coordsize="6400800,0" path="m0,0l6400800,0">
                <v:stroke weight="0.398pt" endcap="flat" joinstyle="miter" miterlimit="10" on="true" color="#000000"/>
                <v:fill on="false" color="#000000" opacity="0"/>
              </v:shape>
              <w10:wrap type="square"/>
            </v:group>
          </w:pict>
        </mc:Fallback>
      </mc:AlternateContent>
    </w:r>
    <w:r>
      <w:rPr>
        <w:i/>
        <w:sz w:val="14"/>
      </w:rPr>
      <w:t>Applying Data Science to Environmental Conservation</w:t>
    </w:r>
    <w:r>
      <w:rPr>
        <w:i/>
        <w:sz w:val="14"/>
      </w:rPr>
      <w:tab/>
    </w:r>
    <w:r>
      <w:rPr>
        <w:sz w:val="14"/>
      </w:rPr>
      <w:t>Shakti Kumaran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1401D" w14:textId="77777777" w:rsidR="005F5683" w:rsidRDefault="00C75C6D">
    <w:pPr>
      <w:tabs>
        <w:tab w:val="right" w:pos="10168"/>
      </w:tabs>
      <w:spacing w:after="0" w:line="259" w:lineRule="auto"/>
      <w:ind w:left="0" w:right="0" w:firstLine="0"/>
      <w:jc w:val="left"/>
    </w:pPr>
    <w:r>
      <w:rPr>
        <w:noProof/>
        <w:sz w:val="22"/>
      </w:rPr>
      <mc:AlternateContent>
        <mc:Choice Requires="wpg">
          <w:drawing>
            <wp:anchor distT="0" distB="0" distL="114300" distR="114300" simplePos="0" relativeHeight="251659264" behindDoc="0" locked="0" layoutInCell="1" allowOverlap="1" wp14:anchorId="679E12DF" wp14:editId="3646DE49">
              <wp:simplePos x="0" y="0"/>
              <wp:positionH relativeFrom="page">
                <wp:posOffset>685800</wp:posOffset>
              </wp:positionH>
              <wp:positionV relativeFrom="page">
                <wp:posOffset>509168</wp:posOffset>
              </wp:positionV>
              <wp:extent cx="6400800" cy="5055"/>
              <wp:effectExtent l="0" t="0" r="0" b="0"/>
              <wp:wrapSquare wrapText="bothSides"/>
              <wp:docPr id="12497" name="Group 12497"/>
              <wp:cNvGraphicFramePr/>
              <a:graphic xmlns:a="http://schemas.openxmlformats.org/drawingml/2006/main">
                <a:graphicData uri="http://schemas.microsoft.com/office/word/2010/wordprocessingGroup">
                  <wpg:wgp>
                    <wpg:cNvGrpSpPr/>
                    <wpg:grpSpPr>
                      <a:xfrm>
                        <a:off x="0" y="0"/>
                        <a:ext cx="6400800" cy="5055"/>
                        <a:chOff x="0" y="0"/>
                        <a:chExt cx="6400800" cy="5055"/>
                      </a:xfrm>
                    </wpg:grpSpPr>
                    <wps:wsp>
                      <wps:cNvPr id="12498" name="Shape 12498"/>
                      <wps:cNvSpPr/>
                      <wps:spPr>
                        <a:xfrm>
                          <a:off x="0" y="0"/>
                          <a:ext cx="6400800" cy="0"/>
                        </a:xfrm>
                        <a:custGeom>
                          <a:avLst/>
                          <a:gdLst/>
                          <a:ahLst/>
                          <a:cxnLst/>
                          <a:rect l="0" t="0" r="0" b="0"/>
                          <a:pathLst>
                            <a:path w="6400800">
                              <a:moveTo>
                                <a:pt x="0" y="0"/>
                              </a:moveTo>
                              <a:lnTo>
                                <a:pt x="6400800" y="0"/>
                              </a:lnTo>
                            </a:path>
                          </a:pathLst>
                        </a:custGeom>
                        <a:ln w="505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2497" style="width:504pt;height:0.398pt;position:absolute;mso-position-horizontal-relative:page;mso-position-horizontal:absolute;margin-left:54pt;mso-position-vertical-relative:page;margin-top:40.092pt;" coordsize="64008,50">
              <v:shape id="Shape 12498" style="position:absolute;width:64008;height:0;left:0;top:0;" coordsize="6400800,0" path="m0,0l6400800,0">
                <v:stroke weight="0.398pt" endcap="flat" joinstyle="miter" miterlimit="10" on="true" color="#000000"/>
                <v:fill on="false" color="#000000" opacity="0"/>
              </v:shape>
              <w10:wrap type="square"/>
            </v:group>
          </w:pict>
        </mc:Fallback>
      </mc:AlternateContent>
    </w:r>
    <w:r>
      <w:rPr>
        <w:i/>
        <w:sz w:val="14"/>
      </w:rPr>
      <w:t>Applying Data Science to Environmental Conservation</w:t>
    </w:r>
    <w:r>
      <w:rPr>
        <w:i/>
        <w:sz w:val="14"/>
      </w:rPr>
      <w:tab/>
    </w:r>
    <w:r>
      <w:rPr>
        <w:sz w:val="14"/>
      </w:rPr>
      <w:t>Shakti Kumaran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54C7C" w14:textId="77777777" w:rsidR="005F5683" w:rsidRDefault="005F5683">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043B3"/>
    <w:multiLevelType w:val="multilevel"/>
    <w:tmpl w:val="DE3C5DBA"/>
    <w:lvl w:ilvl="0">
      <w:start w:val="6"/>
      <w:numFmt w:val="decimal"/>
      <w:lvlText w:val="%1"/>
      <w:lvlJc w:val="left"/>
      <w:pPr>
        <w:ind w:left="360"/>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lvl w:ilvl="1">
      <w:start w:val="3"/>
      <w:numFmt w:val="decimal"/>
      <w:lvlRestart w:val="0"/>
      <w:lvlText w:val="%1.%2"/>
      <w:lvlJc w:val="left"/>
      <w:pPr>
        <w:ind w:left="339"/>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lvl w:ilvl="2">
      <w:start w:val="1"/>
      <w:numFmt w:val="lowerRoman"/>
      <w:lvlText w:val="%3"/>
      <w:lvlJc w:val="left"/>
      <w:pPr>
        <w:ind w:left="1086"/>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lvl w:ilvl="3">
      <w:start w:val="1"/>
      <w:numFmt w:val="decimal"/>
      <w:lvlText w:val="%4"/>
      <w:lvlJc w:val="left"/>
      <w:pPr>
        <w:ind w:left="1806"/>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lvl w:ilvl="4">
      <w:start w:val="1"/>
      <w:numFmt w:val="lowerLetter"/>
      <w:lvlText w:val="%5"/>
      <w:lvlJc w:val="left"/>
      <w:pPr>
        <w:ind w:left="2526"/>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lvl w:ilvl="5">
      <w:start w:val="1"/>
      <w:numFmt w:val="lowerRoman"/>
      <w:lvlText w:val="%6"/>
      <w:lvlJc w:val="left"/>
      <w:pPr>
        <w:ind w:left="3246"/>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lvl w:ilvl="6">
      <w:start w:val="1"/>
      <w:numFmt w:val="decimal"/>
      <w:lvlText w:val="%7"/>
      <w:lvlJc w:val="left"/>
      <w:pPr>
        <w:ind w:left="3966"/>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lvl w:ilvl="7">
      <w:start w:val="1"/>
      <w:numFmt w:val="lowerLetter"/>
      <w:lvlText w:val="%8"/>
      <w:lvlJc w:val="left"/>
      <w:pPr>
        <w:ind w:left="4686"/>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lvl w:ilvl="8">
      <w:start w:val="1"/>
      <w:numFmt w:val="lowerRoman"/>
      <w:lvlText w:val="%9"/>
      <w:lvlJc w:val="left"/>
      <w:pPr>
        <w:ind w:left="5406"/>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2B726A9C"/>
    <w:multiLevelType w:val="hybridMultilevel"/>
    <w:tmpl w:val="83D63D10"/>
    <w:lvl w:ilvl="0" w:tplc="039A66BC">
      <w:start w:val="6"/>
      <w:numFmt w:val="decimal"/>
      <w:lvlText w:val="%1."/>
      <w:lvlJc w:val="left"/>
      <w:pPr>
        <w:ind w:left="31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9E4EA700">
      <w:start w:val="1"/>
      <w:numFmt w:val="lowerLetter"/>
      <w:lvlText w:val="%2"/>
      <w:lvlJc w:val="left"/>
      <w:pPr>
        <w:ind w:left="113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2B48D572">
      <w:start w:val="1"/>
      <w:numFmt w:val="lowerRoman"/>
      <w:lvlText w:val="%3"/>
      <w:lvlJc w:val="left"/>
      <w:pPr>
        <w:ind w:left="185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08109AEC">
      <w:start w:val="1"/>
      <w:numFmt w:val="decimal"/>
      <w:lvlText w:val="%4"/>
      <w:lvlJc w:val="left"/>
      <w:pPr>
        <w:ind w:left="257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BFEA0A02">
      <w:start w:val="1"/>
      <w:numFmt w:val="lowerLetter"/>
      <w:lvlText w:val="%5"/>
      <w:lvlJc w:val="left"/>
      <w:pPr>
        <w:ind w:left="329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73F28D00">
      <w:start w:val="1"/>
      <w:numFmt w:val="lowerRoman"/>
      <w:lvlText w:val="%6"/>
      <w:lvlJc w:val="left"/>
      <w:pPr>
        <w:ind w:left="401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C5526890">
      <w:start w:val="1"/>
      <w:numFmt w:val="decimal"/>
      <w:lvlText w:val="%7"/>
      <w:lvlJc w:val="left"/>
      <w:pPr>
        <w:ind w:left="473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C6AC62DC">
      <w:start w:val="1"/>
      <w:numFmt w:val="lowerLetter"/>
      <w:lvlText w:val="%8"/>
      <w:lvlJc w:val="left"/>
      <w:pPr>
        <w:ind w:left="545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F6027116">
      <w:start w:val="1"/>
      <w:numFmt w:val="lowerRoman"/>
      <w:lvlText w:val="%9"/>
      <w:lvlJc w:val="left"/>
      <w:pPr>
        <w:ind w:left="617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2BC606F7"/>
    <w:multiLevelType w:val="hybridMultilevel"/>
    <w:tmpl w:val="C4D0F284"/>
    <w:lvl w:ilvl="0" w:tplc="548835D8">
      <w:start w:val="1"/>
      <w:numFmt w:val="decimal"/>
      <w:lvlText w:val="[%1]"/>
      <w:lvlJc w:val="left"/>
      <w:pPr>
        <w:ind w:left="39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EE8E3E24">
      <w:start w:val="1"/>
      <w:numFmt w:val="lowerLetter"/>
      <w:lvlText w:val="%2"/>
      <w:lvlJc w:val="left"/>
      <w:pPr>
        <w:ind w:left="1122"/>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74068E14">
      <w:start w:val="1"/>
      <w:numFmt w:val="lowerRoman"/>
      <w:lvlText w:val="%3"/>
      <w:lvlJc w:val="left"/>
      <w:pPr>
        <w:ind w:left="1842"/>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110EB290">
      <w:start w:val="1"/>
      <w:numFmt w:val="decimal"/>
      <w:lvlText w:val="%4"/>
      <w:lvlJc w:val="left"/>
      <w:pPr>
        <w:ind w:left="2562"/>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AED24404">
      <w:start w:val="1"/>
      <w:numFmt w:val="lowerLetter"/>
      <w:lvlText w:val="%5"/>
      <w:lvlJc w:val="left"/>
      <w:pPr>
        <w:ind w:left="3282"/>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CA2EED4C">
      <w:start w:val="1"/>
      <w:numFmt w:val="lowerRoman"/>
      <w:lvlText w:val="%6"/>
      <w:lvlJc w:val="left"/>
      <w:pPr>
        <w:ind w:left="4002"/>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3F761028">
      <w:start w:val="1"/>
      <w:numFmt w:val="decimal"/>
      <w:lvlText w:val="%7"/>
      <w:lvlJc w:val="left"/>
      <w:pPr>
        <w:ind w:left="4722"/>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4E185F66">
      <w:start w:val="1"/>
      <w:numFmt w:val="lowerLetter"/>
      <w:lvlText w:val="%8"/>
      <w:lvlJc w:val="left"/>
      <w:pPr>
        <w:ind w:left="5442"/>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1FC87FD6">
      <w:start w:val="1"/>
      <w:numFmt w:val="lowerRoman"/>
      <w:lvlText w:val="%9"/>
      <w:lvlJc w:val="left"/>
      <w:pPr>
        <w:ind w:left="6162"/>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74390353"/>
    <w:multiLevelType w:val="multilevel"/>
    <w:tmpl w:val="ED8C94FE"/>
    <w:lvl w:ilvl="0">
      <w:start w:val="4"/>
      <w:numFmt w:val="decimal"/>
      <w:lvlText w:val="%1."/>
      <w:lvlJc w:val="left"/>
      <w:pPr>
        <w:ind w:left="31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start w:val="1"/>
      <w:numFmt w:val="decimal"/>
      <w:lvlText w:val="%1.%2"/>
      <w:lvlJc w:val="left"/>
      <w:pPr>
        <w:ind w:left="1106"/>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lvl w:ilvl="2">
      <w:start w:val="1"/>
      <w:numFmt w:val="lowerRoman"/>
      <w:lvlText w:val="%3"/>
      <w:lvlJc w:val="left"/>
      <w:pPr>
        <w:ind w:left="1087"/>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lvl w:ilvl="3">
      <w:start w:val="1"/>
      <w:numFmt w:val="decimal"/>
      <w:lvlText w:val="%4"/>
      <w:lvlJc w:val="left"/>
      <w:pPr>
        <w:ind w:left="1807"/>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lvl w:ilvl="4">
      <w:start w:val="1"/>
      <w:numFmt w:val="lowerLetter"/>
      <w:lvlText w:val="%5"/>
      <w:lvlJc w:val="left"/>
      <w:pPr>
        <w:ind w:left="2527"/>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lvl w:ilvl="5">
      <w:start w:val="1"/>
      <w:numFmt w:val="lowerRoman"/>
      <w:lvlText w:val="%6"/>
      <w:lvlJc w:val="left"/>
      <w:pPr>
        <w:ind w:left="3247"/>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lvl w:ilvl="6">
      <w:start w:val="1"/>
      <w:numFmt w:val="decimal"/>
      <w:lvlText w:val="%7"/>
      <w:lvlJc w:val="left"/>
      <w:pPr>
        <w:ind w:left="3967"/>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lvl w:ilvl="7">
      <w:start w:val="1"/>
      <w:numFmt w:val="lowerLetter"/>
      <w:lvlText w:val="%8"/>
      <w:lvlJc w:val="left"/>
      <w:pPr>
        <w:ind w:left="4687"/>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lvl w:ilvl="8">
      <w:start w:val="1"/>
      <w:numFmt w:val="lowerRoman"/>
      <w:lvlText w:val="%9"/>
      <w:lvlJc w:val="left"/>
      <w:pPr>
        <w:ind w:left="5407"/>
      </w:pPr>
      <w:rPr>
        <w:rFonts w:ascii="Calibri" w:eastAsia="Calibri" w:hAnsi="Calibri" w:cs="Calibri"/>
        <w:b w:val="0"/>
        <w:i/>
        <w:iCs/>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78DC6070"/>
    <w:multiLevelType w:val="hybridMultilevel"/>
    <w:tmpl w:val="DAF46EAE"/>
    <w:lvl w:ilvl="0" w:tplc="74FED632">
      <w:start w:val="1"/>
      <w:numFmt w:val="bullet"/>
      <w:lvlText w:val="•"/>
      <w:lvlJc w:val="left"/>
      <w:pPr>
        <w:ind w:left="27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BA25178">
      <w:start w:val="1"/>
      <w:numFmt w:val="bullet"/>
      <w:lvlText w:val="o"/>
      <w:lvlJc w:val="left"/>
      <w:pPr>
        <w:ind w:left="115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C1A5A0C">
      <w:start w:val="1"/>
      <w:numFmt w:val="bullet"/>
      <w:lvlText w:val="▪"/>
      <w:lvlJc w:val="left"/>
      <w:pPr>
        <w:ind w:left="187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8E8CC46">
      <w:start w:val="1"/>
      <w:numFmt w:val="bullet"/>
      <w:lvlText w:val="•"/>
      <w:lvlJc w:val="left"/>
      <w:pPr>
        <w:ind w:left="259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4E88064">
      <w:start w:val="1"/>
      <w:numFmt w:val="bullet"/>
      <w:lvlText w:val="o"/>
      <w:lvlJc w:val="left"/>
      <w:pPr>
        <w:ind w:left="331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EFE2AEC">
      <w:start w:val="1"/>
      <w:numFmt w:val="bullet"/>
      <w:lvlText w:val="▪"/>
      <w:lvlJc w:val="left"/>
      <w:pPr>
        <w:ind w:left="403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9249EDC">
      <w:start w:val="1"/>
      <w:numFmt w:val="bullet"/>
      <w:lvlText w:val="•"/>
      <w:lvlJc w:val="left"/>
      <w:pPr>
        <w:ind w:left="475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4603092">
      <w:start w:val="1"/>
      <w:numFmt w:val="bullet"/>
      <w:lvlText w:val="o"/>
      <w:lvlJc w:val="left"/>
      <w:pPr>
        <w:ind w:left="547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BDEE1AE">
      <w:start w:val="1"/>
      <w:numFmt w:val="bullet"/>
      <w:lvlText w:val="▪"/>
      <w:lvlJc w:val="left"/>
      <w:pPr>
        <w:ind w:left="619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16cid:durableId="595671178">
    <w:abstractNumId w:val="3"/>
  </w:num>
  <w:num w:numId="2" w16cid:durableId="220026354">
    <w:abstractNumId w:val="1"/>
  </w:num>
  <w:num w:numId="3" w16cid:durableId="1690401362">
    <w:abstractNumId w:val="4"/>
  </w:num>
  <w:num w:numId="4" w16cid:durableId="1017199984">
    <w:abstractNumId w:val="0"/>
  </w:num>
  <w:num w:numId="5" w16cid:durableId="1999014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683"/>
    <w:rsid w:val="005F5683"/>
    <w:rsid w:val="00881C27"/>
    <w:rsid w:val="00B128DF"/>
    <w:rsid w:val="00C75C6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5B5E1"/>
  <w15:docId w15:val="{7B17B38D-ECD2-48CA-8EE4-B25977BFA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39" w:line="239" w:lineRule="auto"/>
      <w:ind w:left="36" w:right="2" w:hanging="3"/>
      <w:jc w:val="both"/>
    </w:pPr>
    <w:rPr>
      <w:rFonts w:ascii="Calibri" w:eastAsia="Calibri" w:hAnsi="Calibri" w:cs="Calibri"/>
      <w:color w:val="000000"/>
      <w:sz w:val="20"/>
    </w:rPr>
  </w:style>
  <w:style w:type="paragraph" w:styleId="Heading1">
    <w:name w:val="heading 1"/>
    <w:next w:val="Normal"/>
    <w:link w:val="Heading1Char"/>
    <w:uiPriority w:val="9"/>
    <w:qFormat/>
    <w:pPr>
      <w:keepNext/>
      <w:keepLines/>
      <w:spacing w:after="96" w:line="259" w:lineRule="auto"/>
      <w:ind w:left="10" w:right="59" w:hanging="10"/>
      <w:jc w:val="center"/>
      <w:outlineLvl w:val="0"/>
    </w:pPr>
    <w:rPr>
      <w:rFonts w:ascii="Calibri" w:eastAsia="Calibri" w:hAnsi="Calibri" w:cs="Calibri"/>
      <w:color w:val="000000"/>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1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4676</Words>
  <Characters>26655</Characters>
  <Application>Microsoft Office Word</Application>
  <DocSecurity>0</DocSecurity>
  <Lines>222</Lines>
  <Paragraphs>62</Paragraphs>
  <ScaleCrop>false</ScaleCrop>
  <Company/>
  <LinksUpToDate>false</LinksUpToDate>
  <CharactersWithSpaces>31269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Applying Data Science to Environmental Conservation</dc:title>
  <dc:subject/>
  <dc:creator>Shakti Kumaran</dc:creator>
  <cp:keywords/>
  <cp:lastModifiedBy>shaktikumaran2020@gmail.com</cp:lastModifiedBy>
  <cp:revision>2</cp:revision>
  <dcterms:created xsi:type="dcterms:W3CDTF">2026-10-04T06:34:00Z</dcterms:created>
  <dcterms:modified xsi:type="dcterms:W3CDTF">2026-10-04T06:34:00Z</dcterms:modified>
</cp:coreProperties>
</file>