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58DC6">
      <w:pPr>
        <w:rPr>
          <w:b/>
          <w:bCs/>
          <w:caps/>
          <w:sz w:val="28"/>
          <w:szCs w:val="28"/>
        </w:rPr>
      </w:pPr>
      <w:bookmarkStart w:id="0" w:name="_Hlk112291084"/>
    </w:p>
    <w:p w14:paraId="3FE205F2">
      <w:pPr>
        <w:jc w:val="center"/>
        <w:rPr>
          <w:b/>
          <w:bCs/>
          <w:caps/>
        </w:rPr>
      </w:pPr>
      <w:r>
        <w:rPr>
          <w:b/>
          <w:bCs/>
          <w:caps/>
        </w:rPr>
        <w:t xml:space="preserve">   </w:t>
      </w:r>
      <w:r>
        <w:rPr>
          <w:rFonts w:hint="default"/>
          <w:b/>
          <w:bCs/>
          <w:caps/>
        </w:rPr>
        <w:t xml:space="preserve">  CORPORATE GOVERNANCE AND RISK MANAGEMENT AS STRATEGIC TOOLS FOR FRAUD PREVENTION AND ORGANISATIONAL EFFECTIVENESS IN SELECTED GHANAIAN FIRMS</w:t>
      </w:r>
    </w:p>
    <w:p w14:paraId="1C7AC28C">
      <w:pPr>
        <w:jc w:val="center"/>
        <w:rPr>
          <w:b/>
          <w:bCs/>
          <w:caps/>
        </w:rPr>
      </w:pPr>
    </w:p>
    <w:p w14:paraId="7A64793A">
      <w:pPr>
        <w:jc w:val="both"/>
        <w:rPr>
          <w:rFonts w:hint="default"/>
          <w:b/>
          <w:bCs/>
          <w:caps/>
          <w:lang w:val="en-US"/>
        </w:rPr>
      </w:pPr>
    </w:p>
    <w:p w14:paraId="575F92A9">
      <w:pPr>
        <w:jc w:val="both"/>
        <w:rPr>
          <w:rFonts w:hint="default"/>
          <w:b/>
          <w:bCs/>
          <w:caps/>
          <w:lang w:val="en-US"/>
        </w:rPr>
      </w:pPr>
    </w:p>
    <w:p w14:paraId="3265B472">
      <w:pPr>
        <w:jc w:val="both"/>
        <w:rPr>
          <w:rFonts w:hint="default"/>
          <w:b/>
          <w:bCs/>
          <w:caps/>
          <w:lang w:val="en-US"/>
        </w:rPr>
      </w:pPr>
    </w:p>
    <w:p w14:paraId="15E7983E">
      <w:pPr>
        <w:jc w:val="both"/>
        <w:rPr>
          <w:rFonts w:hint="default"/>
          <w:b/>
          <w:bCs/>
          <w:caps/>
          <w:lang w:val="en-US"/>
        </w:rPr>
      </w:pPr>
    </w:p>
    <w:p w14:paraId="3088BFB5">
      <w:pPr>
        <w:jc w:val="both"/>
        <w:rPr>
          <w:rFonts w:hint="default"/>
          <w:b/>
          <w:bCs/>
          <w:caps/>
          <w:lang w:val="en-US"/>
        </w:rPr>
      </w:pPr>
      <w:bookmarkStart w:id="103" w:name="_GoBack"/>
      <w:bookmarkEnd w:id="103"/>
    </w:p>
    <w:p w14:paraId="65CA4289">
      <w:pPr>
        <w:jc w:val="both"/>
        <w:rPr>
          <w:rFonts w:hint="default"/>
          <w:b/>
          <w:bCs/>
          <w:caps/>
          <w:lang w:val="en-US"/>
        </w:rPr>
      </w:pPr>
    </w:p>
    <w:p w14:paraId="7353EC34">
      <w:pPr>
        <w:jc w:val="both"/>
        <w:rPr>
          <w:rFonts w:hint="default"/>
          <w:b/>
          <w:bCs/>
          <w:caps/>
          <w:lang w:val="en-US"/>
        </w:rPr>
      </w:pPr>
    </w:p>
    <w:p w14:paraId="75B50165">
      <w:pPr>
        <w:jc w:val="both"/>
        <w:rPr>
          <w:rFonts w:hint="default"/>
          <w:b/>
          <w:bCs/>
          <w:caps/>
          <w:lang w:val="en-US"/>
        </w:rPr>
      </w:pPr>
    </w:p>
    <w:p w14:paraId="52329CAF">
      <w:pPr>
        <w:jc w:val="both"/>
        <w:rPr>
          <w:rFonts w:hint="default"/>
          <w:b/>
          <w:bCs/>
          <w:caps/>
          <w:lang w:val="en-US"/>
        </w:rPr>
      </w:pPr>
    </w:p>
    <w:p w14:paraId="48433ABE">
      <w:pPr>
        <w:jc w:val="both"/>
        <w:rPr>
          <w:rFonts w:hint="default"/>
          <w:b/>
          <w:bCs/>
          <w:caps/>
          <w:lang w:val="en-US"/>
        </w:rPr>
      </w:pPr>
    </w:p>
    <w:p w14:paraId="078C147A">
      <w:pPr>
        <w:jc w:val="both"/>
        <w:rPr>
          <w:rFonts w:hint="default"/>
          <w:b/>
          <w:bCs/>
          <w:caps/>
          <w:lang w:val="en-US"/>
        </w:rPr>
      </w:pPr>
    </w:p>
    <w:p w14:paraId="6100C912">
      <w:pPr>
        <w:jc w:val="both"/>
        <w:rPr>
          <w:rFonts w:hint="default"/>
          <w:b/>
          <w:bCs/>
          <w:caps/>
          <w:lang w:val="en-US"/>
        </w:rPr>
      </w:pPr>
    </w:p>
    <w:p w14:paraId="5631D46E">
      <w:pPr>
        <w:jc w:val="both"/>
        <w:rPr>
          <w:rFonts w:hint="default"/>
          <w:b/>
          <w:bCs/>
          <w:caps/>
          <w:lang w:val="en-US"/>
        </w:rPr>
      </w:pPr>
    </w:p>
    <w:p w14:paraId="64AF550E">
      <w:pPr>
        <w:jc w:val="both"/>
        <w:rPr>
          <w:rFonts w:hint="default"/>
          <w:b/>
          <w:bCs/>
          <w:caps/>
          <w:lang w:val="en-US"/>
        </w:rPr>
      </w:pPr>
    </w:p>
    <w:p w14:paraId="524ACFF8">
      <w:pPr>
        <w:jc w:val="both"/>
        <w:rPr>
          <w:rFonts w:hint="default"/>
          <w:b/>
          <w:bCs/>
          <w:caps/>
          <w:lang w:val="en-US"/>
        </w:rPr>
      </w:pPr>
    </w:p>
    <w:p w14:paraId="35E2CC06">
      <w:pPr>
        <w:jc w:val="both"/>
        <w:rPr>
          <w:rFonts w:hint="default"/>
          <w:b/>
          <w:bCs/>
          <w:caps/>
          <w:lang w:val="en-US"/>
        </w:rPr>
      </w:pPr>
    </w:p>
    <w:p w14:paraId="7FFCEDDD">
      <w:pPr>
        <w:jc w:val="both"/>
        <w:rPr>
          <w:rFonts w:hint="default"/>
          <w:b/>
          <w:bCs/>
          <w:caps/>
          <w:lang w:val="en-US"/>
        </w:rPr>
      </w:pPr>
    </w:p>
    <w:p w14:paraId="72502C3D">
      <w:pPr>
        <w:jc w:val="both"/>
        <w:rPr>
          <w:rFonts w:hint="default"/>
          <w:b/>
          <w:bCs/>
          <w:caps/>
          <w:lang w:val="en-US"/>
        </w:rPr>
      </w:pPr>
    </w:p>
    <w:p w14:paraId="14D6B3C3">
      <w:pPr>
        <w:jc w:val="both"/>
        <w:rPr>
          <w:rFonts w:hint="default"/>
          <w:b/>
          <w:bCs/>
          <w:caps/>
          <w:lang w:val="en-US"/>
        </w:rPr>
      </w:pPr>
    </w:p>
    <w:p w14:paraId="2C2BF099">
      <w:pPr>
        <w:jc w:val="both"/>
        <w:rPr>
          <w:rFonts w:hint="default"/>
          <w:b/>
          <w:bCs/>
          <w:caps/>
          <w:lang w:val="en-US"/>
        </w:rPr>
      </w:pPr>
    </w:p>
    <w:p w14:paraId="33FDACFA">
      <w:pPr>
        <w:rPr>
          <w:b/>
          <w:bCs/>
          <w:caps/>
        </w:rPr>
      </w:pPr>
    </w:p>
    <w:p w14:paraId="1F72D28C">
      <w:pPr>
        <w:jc w:val="center"/>
        <w:rPr>
          <w:b/>
          <w:bCs/>
          <w:caps/>
        </w:rPr>
      </w:pPr>
      <w:r>
        <w:rPr>
          <w:rFonts w:hint="default"/>
          <w:b/>
          <w:bCs/>
          <w:lang w:val="en-US"/>
        </w:rPr>
        <w:t>D</w:t>
      </w:r>
      <w:r>
        <w:rPr>
          <w:rFonts w:hint="default"/>
          <w:b/>
          <w:bCs/>
          <w:caps/>
          <w:lang w:val="en-US"/>
        </w:rPr>
        <w:t>avidson kuegbesika</w:t>
      </w:r>
    </w:p>
    <w:p w14:paraId="4F930DE9">
      <w:pPr>
        <w:jc w:val="center"/>
        <w:rPr>
          <w:b/>
          <w:bCs/>
          <w:caps/>
        </w:rPr>
      </w:pPr>
    </w:p>
    <w:p w14:paraId="10B605BF">
      <w:pPr>
        <w:jc w:val="center"/>
        <w:rPr>
          <w:rFonts w:hint="default"/>
          <w:b/>
          <w:bCs/>
          <w:caps/>
          <w:lang w:val="en-US"/>
        </w:rPr>
      </w:pPr>
      <w:r>
        <w:rPr>
          <w:rFonts w:hint="default"/>
          <w:b/>
          <w:bCs/>
          <w:caps/>
          <w:lang w:val="en-US"/>
        </w:rPr>
        <w:t>September</w:t>
      </w:r>
      <w:r>
        <w:rPr>
          <w:b/>
          <w:bCs/>
          <w:caps/>
        </w:rPr>
        <w:t xml:space="preserve"> 202</w:t>
      </w:r>
      <w:r>
        <w:rPr>
          <w:rFonts w:hint="default"/>
          <w:b/>
          <w:bCs/>
          <w:caps/>
          <w:lang w:val="en-US"/>
        </w:rPr>
        <w:t>6</w:t>
      </w:r>
    </w:p>
    <w:bookmarkEnd w:id="0"/>
    <w:p w14:paraId="17D73AA1">
      <w:pPr>
        <w:spacing w:line="480" w:lineRule="auto"/>
        <w:rPr>
          <w:b/>
          <w:bCs/>
        </w:rPr>
        <w:sectPr>
          <w:pgSz w:w="12240" w:h="15840"/>
          <w:pgMar w:top="1440" w:right="1440" w:bottom="1440" w:left="2268" w:header="709" w:footer="709" w:gutter="0"/>
          <w:pgNumType w:fmt="lowerRoman" w:start="1"/>
          <w:cols w:space="708" w:num="1"/>
          <w:docGrid w:linePitch="360" w:charSpace="0"/>
        </w:sectPr>
      </w:pPr>
    </w:p>
    <w:p w14:paraId="59E17401">
      <w:pPr>
        <w:spacing w:line="480" w:lineRule="auto"/>
        <w:rPr>
          <w:b/>
          <w:bCs/>
        </w:rPr>
      </w:pPr>
      <w:r>
        <w:rPr>
          <w:b/>
          <w:bCs/>
        </w:rPr>
        <w:t>DECLARATION</w:t>
      </w:r>
    </w:p>
    <w:p w14:paraId="661F0C06">
      <w:pPr>
        <w:spacing w:line="480" w:lineRule="auto"/>
        <w:jc w:val="both"/>
      </w:pPr>
      <w:r>
        <w:t xml:space="preserve">I hereby declare that apart from the references duly cited, this dissertation is the product of my own original work. I affirm that this dissertation has never been presented in part or in whole anywhere else. </w:t>
      </w:r>
    </w:p>
    <w:p w14:paraId="3D086826">
      <w:pPr>
        <w:spacing w:line="480" w:lineRule="auto"/>
        <w:jc w:val="both"/>
      </w:pPr>
    </w:p>
    <w:p w14:paraId="112A54D0">
      <w:pPr>
        <w:spacing w:line="480" w:lineRule="auto"/>
        <w:jc w:val="both"/>
      </w:pPr>
    </w:p>
    <w:p w14:paraId="4064E0E5">
      <w:pPr>
        <w:spacing w:line="480" w:lineRule="auto"/>
        <w:jc w:val="both"/>
      </w:pPr>
    </w:p>
    <w:p w14:paraId="4DCAE37C">
      <w:pPr>
        <w:spacing w:line="480" w:lineRule="auto"/>
        <w:jc w:val="both"/>
      </w:pPr>
    </w:p>
    <w:p w14:paraId="21D77DA7">
      <w:pPr>
        <w:spacing w:line="480" w:lineRule="auto"/>
        <w:jc w:val="both"/>
      </w:pPr>
    </w:p>
    <w:p w14:paraId="123F5BF6">
      <w:pPr>
        <w:spacing w:line="480" w:lineRule="auto"/>
        <w:jc w:val="both"/>
      </w:pPr>
    </w:p>
    <w:p w14:paraId="5DED74FD">
      <w:pPr>
        <w:spacing w:line="480" w:lineRule="auto"/>
        <w:jc w:val="both"/>
      </w:pPr>
    </w:p>
    <w:p w14:paraId="7F66636A">
      <w:pPr>
        <w:spacing w:line="480" w:lineRule="auto"/>
        <w:jc w:val="both"/>
      </w:pPr>
    </w:p>
    <w:p w14:paraId="3124E5A8">
      <w:pPr>
        <w:spacing w:line="480" w:lineRule="auto"/>
        <w:jc w:val="both"/>
      </w:pPr>
    </w:p>
    <w:p w14:paraId="743A4742">
      <w:pPr>
        <w:spacing w:line="480" w:lineRule="auto"/>
        <w:jc w:val="both"/>
      </w:pPr>
    </w:p>
    <w:p w14:paraId="6755A5AA">
      <w:pPr>
        <w:spacing w:line="480" w:lineRule="auto"/>
        <w:jc w:val="both"/>
      </w:pPr>
    </w:p>
    <w:p w14:paraId="05832BCB">
      <w:pPr>
        <w:spacing w:line="480" w:lineRule="auto"/>
        <w:jc w:val="both"/>
      </w:pPr>
    </w:p>
    <w:p w14:paraId="6916BBEC">
      <w:pPr>
        <w:spacing w:line="480" w:lineRule="auto"/>
        <w:jc w:val="both"/>
      </w:pPr>
    </w:p>
    <w:p w14:paraId="5EB33447">
      <w:pPr>
        <w:spacing w:line="480" w:lineRule="auto"/>
        <w:jc w:val="both"/>
      </w:pPr>
    </w:p>
    <w:p w14:paraId="6256CB3D">
      <w:pPr>
        <w:spacing w:line="480" w:lineRule="auto"/>
        <w:jc w:val="both"/>
      </w:pPr>
    </w:p>
    <w:p w14:paraId="11AB9923">
      <w:pPr>
        <w:spacing w:line="480" w:lineRule="auto"/>
        <w:jc w:val="center"/>
        <w:rPr>
          <w:b/>
          <w:bCs/>
        </w:rPr>
      </w:pPr>
      <w:r>
        <w:rPr>
          <w:b/>
          <w:bCs/>
        </w:rPr>
        <w:t>DEDICATION</w:t>
      </w:r>
    </w:p>
    <w:p w14:paraId="47A33CB6">
      <w:pPr>
        <w:spacing w:line="480" w:lineRule="auto"/>
        <w:jc w:val="left"/>
        <w:rPr>
          <w:rFonts w:hint="default"/>
          <w:b/>
          <w:bCs/>
          <w:lang w:val="en-US"/>
        </w:rPr>
      </w:pPr>
      <w:r>
        <w:rPr>
          <w:rFonts w:hint="default"/>
          <w:b w:val="0"/>
          <w:bCs w:val="0"/>
          <w:lang w:val="en-US"/>
        </w:rPr>
        <w:t xml:space="preserve">I dedicate this dissertation to my parents </w:t>
      </w:r>
    </w:p>
    <w:p w14:paraId="50D9389C">
      <w:pPr>
        <w:rPr>
          <w:b/>
          <w:bCs/>
          <w:caps/>
        </w:rPr>
      </w:pPr>
    </w:p>
    <w:p w14:paraId="7B42E0CF">
      <w:pPr>
        <w:rPr>
          <w:b/>
          <w:bCs/>
          <w:caps/>
        </w:rPr>
      </w:pPr>
    </w:p>
    <w:p w14:paraId="38406A12">
      <w:pPr>
        <w:jc w:val="center"/>
        <w:rPr>
          <w:b/>
          <w:bCs/>
          <w:lang w:val="en-US"/>
        </w:rPr>
      </w:pPr>
      <w:r>
        <w:rPr>
          <w:b/>
          <w:bCs/>
          <w:caps/>
          <w:lang w:val="en-US"/>
        </w:rPr>
        <w:br w:type="page"/>
      </w:r>
      <w:r>
        <w:rPr>
          <w:b/>
          <w:bCs/>
          <w:lang w:val="en-US"/>
        </w:rPr>
        <w:t>ACKNOWLEDGEMENT</w:t>
      </w:r>
    </w:p>
    <w:p w14:paraId="0EC8A09E">
      <w:pPr>
        <w:spacing w:line="480" w:lineRule="auto"/>
        <w:ind w:left="0" w:leftChars="0"/>
        <w:jc w:val="both"/>
        <w:rPr>
          <w:rFonts w:hint="default"/>
          <w:b w:val="0"/>
          <w:bCs w:val="0"/>
          <w:lang w:val="en-US"/>
        </w:rPr>
      </w:pPr>
      <w:r>
        <w:rPr>
          <w:rFonts w:hint="default"/>
          <w:b w:val="0"/>
          <w:bCs w:val="0"/>
          <w:lang w:val="en-US"/>
        </w:rPr>
        <w:t>I would like to express my gratitude to Dr. Ruby Melody Agbola, for her guidance. Her constructive feedback, has been instrumental in the completion of this work.</w:t>
      </w:r>
    </w:p>
    <w:p w14:paraId="166239E0">
      <w:pPr>
        <w:spacing w:line="480" w:lineRule="auto"/>
        <w:ind w:left="0" w:leftChars="0"/>
        <w:jc w:val="both"/>
        <w:rPr>
          <w:rFonts w:hint="default"/>
          <w:b w:val="0"/>
          <w:bCs w:val="0"/>
          <w:lang w:val="en-US"/>
        </w:rPr>
      </w:pPr>
      <w:r>
        <w:rPr>
          <w:rFonts w:hint="default"/>
          <w:b w:val="0"/>
          <w:bCs w:val="0"/>
          <w:lang w:val="en-US"/>
        </w:rPr>
        <w:t>I would also like to express my appreciation to my family for their support throughout my academic journey. Their support has not only been crucial for this work, but also my academic success as a whole.</w:t>
      </w:r>
    </w:p>
    <w:p w14:paraId="4F3AB6E3">
      <w:pPr>
        <w:spacing w:line="480" w:lineRule="auto"/>
        <w:ind w:left="0" w:leftChars="0"/>
        <w:jc w:val="both"/>
        <w:rPr>
          <w:rFonts w:hint="default"/>
          <w:b w:val="0"/>
          <w:bCs w:val="0"/>
          <w:lang w:val="en-US"/>
        </w:rPr>
      </w:pPr>
      <w:r>
        <w:rPr>
          <w:rFonts w:hint="default"/>
          <w:b w:val="0"/>
          <w:bCs w:val="0"/>
          <w:lang w:val="en-US"/>
        </w:rPr>
        <w:t xml:space="preserve">Finally, I would like to extend my heartfelt thanks to the respondents for their participation and boss Makafui for coordinating between myself and various organisational leaders.  </w:t>
      </w:r>
    </w:p>
    <w:p w14:paraId="270A42BE">
      <w:pPr>
        <w:rPr>
          <w:color w:val="FF0000"/>
          <w:lang w:val="en-US"/>
        </w:rPr>
      </w:pPr>
      <w:r>
        <w:rPr>
          <w:color w:val="FF0000"/>
          <w:lang w:val="en-US"/>
        </w:rPr>
        <w:br w:type="page"/>
      </w:r>
    </w:p>
    <w:p w14:paraId="7470F12A">
      <w:pPr>
        <w:jc w:val="center"/>
        <w:rPr>
          <w:b/>
          <w:bCs/>
          <w:lang w:val="en-US"/>
        </w:rPr>
      </w:pPr>
      <w:r>
        <w:rPr>
          <w:b/>
          <w:bCs/>
          <w:lang w:val="en-US"/>
        </w:rPr>
        <w:t>ABSTRACT</w:t>
      </w:r>
    </w:p>
    <w:p w14:paraId="44036656">
      <w:pPr>
        <w:spacing w:before="120" w:after="240" w:line="480" w:lineRule="auto"/>
        <w:jc w:val="both"/>
      </w:pPr>
      <w:r>
        <w:t>This study examined corporate governance and risk management as strategic tools for fraud prevention and organisational effectiveness among selected Ghanaian firms, addressing a gap in the literature where governance and risk management are typically studied separately, or treated as compliance exercises rather than as strategic capabilities operating jointly across sectors.</w:t>
      </w:r>
    </w:p>
    <w:p w14:paraId="24F7D40C">
      <w:pPr>
        <w:spacing w:before="120" w:after="240" w:line="480" w:lineRule="auto"/>
        <w:jc w:val="both"/>
      </w:pPr>
      <w:r>
        <w:t>The study adopted a quantitative research design and collected data from 50 employees across four industries in Ghana using a structured questionnaire. The data were analysed using descriptive statistics, Pearson correlation, hierarchical regression, and Hayes (2018) PROCESS macro (Model 4) with bootstrapped confidence intervals to test seven hypotheses, including two mediation paths.</w:t>
      </w:r>
    </w:p>
    <w:p w14:paraId="56385308">
      <w:pPr>
        <w:spacing w:before="120" w:after="240" w:line="480" w:lineRule="auto"/>
        <w:jc w:val="both"/>
        <w:rPr>
          <w:rFonts w:hint="default"/>
          <w:lang w:val="en-US"/>
        </w:rPr>
      </w:pPr>
      <w:r>
        <w:t xml:space="preserve"> The results showed that corporate governance and risk management each had a significant positive direct effect on organisational effectiveness. Corporate governance also had a significant positive effect on fraud prevention, but risk management</w:t>
      </w:r>
      <w:r>
        <w:rPr>
          <w:rFonts w:hint="default"/>
          <w:lang w:val="en-US"/>
        </w:rPr>
        <w:t>’</w:t>
      </w:r>
      <w:r>
        <w:t>s effect on fraud prevention was negative and non-significant once corporate governance was controlled for, a pattern attributed to strong multicollinearity between the two constructs rather than a genuine adverse effect. Fraud prevention did not significantly predict organisational effectiveness, and the bootstrapped indirect effects confirmed that fraud prevention did not mediate the relationship between either corporate governance or risk management and organisational effectiveness</w:t>
      </w:r>
      <w:r>
        <w:rPr>
          <w:rFonts w:hint="default"/>
          <w:lang w:val="en-US"/>
        </w:rPr>
        <w:t>.</w:t>
      </w:r>
    </w:p>
    <w:p w14:paraId="2D5B0FD2">
      <w:pPr>
        <w:jc w:val="both"/>
        <w:rPr>
          <w:lang w:val="en-US"/>
        </w:rPr>
      </w:pPr>
      <w:r>
        <w:rPr>
          <w:lang w:val="en-US"/>
        </w:rPr>
        <w:br w:type="page"/>
      </w:r>
    </w:p>
    <w:p w14:paraId="5D3D88F6">
      <w:pPr>
        <w:spacing w:after="0" w:line="480" w:lineRule="auto"/>
        <w:jc w:val="center"/>
        <w:rPr>
          <w:b/>
          <w:bCs/>
          <w:lang w:val="en-US"/>
        </w:rPr>
      </w:pPr>
      <w:r>
        <w:rPr>
          <w:b/>
          <w:bCs/>
          <w:lang w:val="en-US"/>
        </w:rPr>
        <w:t>TABLE OF CONTENTS</w:t>
      </w:r>
    </w:p>
    <w:p w14:paraId="4560E455">
      <w:pPr>
        <w:spacing w:after="0" w:line="480" w:lineRule="auto"/>
        <w:rPr>
          <w:lang w:val="en-US"/>
        </w:rPr>
      </w:pPr>
      <w:r>
        <w:rPr>
          <w:rFonts w:hint="default"/>
          <w:lang w:val="en-US"/>
        </w:rPr>
        <w:t>CONTENT</w:t>
      </w:r>
      <w:r>
        <w:rPr>
          <w:lang w:val="en-US"/>
        </w:rPr>
        <w:t xml:space="preserve"> …………………………………………………………………………Page</w:t>
      </w:r>
    </w:p>
    <w:p w14:paraId="74EE5054">
      <w:pPr>
        <w:spacing w:after="120" w:line="480" w:lineRule="auto"/>
        <w:rPr>
          <w:lang w:val="en-US"/>
        </w:rPr>
      </w:pPr>
      <w:r>
        <w:rPr>
          <w:b/>
          <w:bCs/>
          <w:lang w:val="en-US"/>
        </w:rPr>
        <w:t xml:space="preserve">DECLARATION </w:t>
      </w:r>
      <w:r>
        <w:rPr>
          <w:lang w:val="en-US"/>
        </w:rPr>
        <w:t>……………………………………………………………………… i</w:t>
      </w:r>
    </w:p>
    <w:p w14:paraId="105030C8">
      <w:pPr>
        <w:spacing w:after="120" w:line="480" w:lineRule="auto"/>
        <w:rPr>
          <w:lang w:val="en-US"/>
        </w:rPr>
      </w:pPr>
      <w:r>
        <w:rPr>
          <w:b/>
          <w:bCs/>
          <w:lang w:val="en-US"/>
        </w:rPr>
        <w:t>DEDICATION</w:t>
      </w:r>
      <w:r>
        <w:rPr>
          <w:lang w:val="en-US"/>
        </w:rPr>
        <w:t xml:space="preserve"> …………………………………………………………………………ii</w:t>
      </w:r>
    </w:p>
    <w:p w14:paraId="14775693">
      <w:pPr>
        <w:spacing w:after="120" w:line="480" w:lineRule="auto"/>
        <w:rPr>
          <w:lang w:val="en-US"/>
        </w:rPr>
      </w:pPr>
      <w:r>
        <w:rPr>
          <w:b/>
          <w:bCs/>
          <w:lang w:val="en-US"/>
        </w:rPr>
        <w:t>ACKNOWLEDGEMENT</w:t>
      </w:r>
      <w:r>
        <w:rPr>
          <w:lang w:val="en-US"/>
        </w:rPr>
        <w:t>…………………………………………………………… iii</w:t>
      </w:r>
    </w:p>
    <w:p w14:paraId="24D00FE0">
      <w:pPr>
        <w:spacing w:after="120" w:line="480" w:lineRule="auto"/>
        <w:rPr>
          <w:lang w:val="en-US"/>
        </w:rPr>
      </w:pPr>
      <w:r>
        <w:rPr>
          <w:b/>
          <w:bCs/>
          <w:lang w:val="en-US"/>
        </w:rPr>
        <w:t>ABSTRACT</w:t>
      </w:r>
      <w:r>
        <w:rPr>
          <w:lang w:val="en-US"/>
        </w:rPr>
        <w:t>…………………………………………………………………………….iv</w:t>
      </w:r>
    </w:p>
    <w:p w14:paraId="38A6B18E">
      <w:pPr>
        <w:spacing w:after="120" w:line="480" w:lineRule="auto"/>
        <w:rPr>
          <w:lang w:val="en-US"/>
        </w:rPr>
      </w:pPr>
      <w:r>
        <w:rPr>
          <w:b/>
          <w:bCs/>
          <w:lang w:val="en-US"/>
        </w:rPr>
        <w:t>TABLE OF CONTENTS</w:t>
      </w:r>
      <w:r>
        <w:rPr>
          <w:lang w:val="en-US"/>
        </w:rPr>
        <w:t>……………………………………………………………….v</w:t>
      </w:r>
    </w:p>
    <w:p w14:paraId="0841E27B">
      <w:pPr>
        <w:spacing w:after="120" w:line="480" w:lineRule="auto"/>
        <w:rPr>
          <w:lang w:val="en-US"/>
        </w:rPr>
      </w:pPr>
      <w:r>
        <w:rPr>
          <w:b/>
          <w:bCs/>
          <w:lang w:val="en-US"/>
        </w:rPr>
        <w:t>LIST OF TABLES</w:t>
      </w:r>
      <w:r>
        <w:rPr>
          <w:lang w:val="en-US"/>
        </w:rPr>
        <w:t xml:space="preserve"> …………………………………………………………………….vi</w:t>
      </w:r>
    </w:p>
    <w:p w14:paraId="4D7F4344">
      <w:pPr>
        <w:spacing w:after="120" w:line="480" w:lineRule="auto"/>
        <w:rPr>
          <w:lang w:val="en-US"/>
        </w:rPr>
      </w:pPr>
      <w:r>
        <w:rPr>
          <w:b/>
          <w:bCs/>
          <w:lang w:val="en-US"/>
        </w:rPr>
        <w:t>LIST OF ABBREVIATIONS</w:t>
      </w:r>
      <w:r>
        <w:rPr>
          <w:lang w:val="en-US"/>
        </w:rPr>
        <w:t xml:space="preserve"> ……………………………………………………….viii</w:t>
      </w:r>
    </w:p>
    <w:p w14:paraId="5F53B975">
      <w:pPr>
        <w:spacing w:after="0" w:line="480" w:lineRule="auto"/>
        <w:rPr>
          <w:caps/>
        </w:rPr>
      </w:pPr>
      <w:r>
        <w:rPr>
          <w:b/>
          <w:bCs/>
          <w:caps/>
          <w:lang w:val="en-US"/>
        </w:rPr>
        <w:t xml:space="preserve">Chapter One    </w:t>
      </w:r>
      <w:r>
        <w:rPr>
          <w:caps/>
          <w:lang w:val="en-US"/>
        </w:rPr>
        <w:t xml:space="preserve">……………………………………………………………………..1 </w:t>
      </w:r>
      <w:r>
        <w:rPr>
          <w:b/>
          <w:bCs/>
          <w:caps/>
          <w:lang w:val="en-US"/>
        </w:rPr>
        <w:t xml:space="preserve">                                 </w:t>
      </w:r>
    </w:p>
    <w:p w14:paraId="29FE9B17">
      <w:pPr>
        <w:spacing w:after="0" w:line="480" w:lineRule="auto"/>
      </w:pPr>
      <w:r>
        <w:rPr>
          <w:b/>
          <w:bCs/>
          <w:lang w:val="en-US"/>
        </w:rPr>
        <w:t xml:space="preserve">Introduction </w:t>
      </w:r>
      <w:r>
        <w:rPr>
          <w:lang w:val="en-US"/>
        </w:rPr>
        <w:t>…………………………………………………………………</w:t>
      </w:r>
      <w:r>
        <w:rPr>
          <w:rFonts w:hint="default"/>
          <w:lang w:val="en-US"/>
        </w:rPr>
        <w:t>…..</w:t>
      </w:r>
      <w:r>
        <w:rPr>
          <w:lang w:val="en-US"/>
        </w:rPr>
        <w:t>……..1</w:t>
      </w:r>
    </w:p>
    <w:p w14:paraId="48D54986">
      <w:pPr>
        <w:spacing w:after="0" w:line="480" w:lineRule="auto"/>
        <w:rPr>
          <w:lang w:val="en-US"/>
        </w:rPr>
      </w:pPr>
      <w:r>
        <w:rPr>
          <w:lang w:val="en-US"/>
        </w:rPr>
        <w:t xml:space="preserve">   Background o</w:t>
      </w:r>
      <w:r>
        <w:rPr>
          <w:rFonts w:hint="default"/>
          <w:lang w:val="en-US"/>
        </w:rPr>
        <w:t>f</w:t>
      </w:r>
      <w:r>
        <w:rPr>
          <w:lang w:val="en-US"/>
        </w:rPr>
        <w:t xml:space="preserve"> </w:t>
      </w:r>
      <w:r>
        <w:rPr>
          <w:rFonts w:hint="default"/>
          <w:lang w:val="en-US"/>
        </w:rPr>
        <w:t>s</w:t>
      </w:r>
      <w:r>
        <w:rPr>
          <w:lang w:val="en-US"/>
        </w:rPr>
        <w:t>tudy……………………………………………………</w:t>
      </w:r>
      <w:r>
        <w:rPr>
          <w:rFonts w:hint="default"/>
          <w:lang w:val="en-US"/>
        </w:rPr>
        <w:t>…….</w:t>
      </w:r>
      <w:r>
        <w:rPr>
          <w:lang w:val="en-US"/>
        </w:rPr>
        <w:t>……......1</w:t>
      </w:r>
    </w:p>
    <w:p w14:paraId="2790962D">
      <w:pPr>
        <w:spacing w:after="0" w:line="480" w:lineRule="auto"/>
      </w:pPr>
      <w:r>
        <w:rPr>
          <w:lang w:val="en-US"/>
        </w:rPr>
        <w:t xml:space="preserve">   Problem </w:t>
      </w:r>
      <w:r>
        <w:rPr>
          <w:rFonts w:hint="default"/>
          <w:lang w:val="en-US"/>
        </w:rPr>
        <w:t>s</w:t>
      </w:r>
      <w:r>
        <w:rPr>
          <w:lang w:val="en-US"/>
        </w:rPr>
        <w:t>tatement ……………………………………………………………...…</w:t>
      </w:r>
      <w:r>
        <w:rPr>
          <w:rFonts w:hint="default"/>
          <w:lang w:val="en-US"/>
        </w:rPr>
        <w:t>….</w:t>
      </w:r>
      <w:r>
        <w:rPr>
          <w:lang w:val="en-US"/>
        </w:rPr>
        <w:t xml:space="preserve">.3 </w:t>
      </w:r>
    </w:p>
    <w:p w14:paraId="22229005">
      <w:pPr>
        <w:spacing w:after="0" w:line="480" w:lineRule="auto"/>
        <w:rPr>
          <w:lang w:val="en-US"/>
        </w:rPr>
      </w:pPr>
      <w:r>
        <w:rPr>
          <w:lang w:val="en-US"/>
        </w:rPr>
        <w:t xml:space="preserve">   Research </w:t>
      </w:r>
      <w:r>
        <w:rPr>
          <w:rFonts w:hint="default"/>
          <w:lang w:val="en-US"/>
        </w:rPr>
        <w:t>objectives</w:t>
      </w:r>
      <w:r>
        <w:rPr>
          <w:lang w:val="en-US"/>
        </w:rPr>
        <w:t xml:space="preserve"> ………………………………………………………………</w:t>
      </w:r>
      <w:r>
        <w:rPr>
          <w:rFonts w:hint="default"/>
          <w:lang w:val="en-US"/>
        </w:rPr>
        <w:t>…..</w:t>
      </w:r>
      <w:r>
        <w:rPr>
          <w:lang w:val="en-US"/>
        </w:rPr>
        <w:t>.</w:t>
      </w:r>
      <w:r>
        <w:rPr>
          <w:rFonts w:hint="default"/>
          <w:lang w:val="en-US"/>
        </w:rPr>
        <w:t>4</w:t>
      </w:r>
      <w:r>
        <w:rPr>
          <w:lang w:val="en-US"/>
        </w:rPr>
        <w:t xml:space="preserve"> </w:t>
      </w:r>
    </w:p>
    <w:p w14:paraId="70DE0780">
      <w:pPr>
        <w:spacing w:after="0" w:line="480" w:lineRule="auto"/>
        <w:rPr>
          <w:rFonts w:hint="default"/>
          <w:lang w:val="en-US"/>
        </w:rPr>
      </w:pPr>
      <w:r>
        <w:rPr>
          <w:lang w:val="en-US"/>
        </w:rPr>
        <w:t xml:space="preserve">   Research </w:t>
      </w:r>
      <w:r>
        <w:rPr>
          <w:rFonts w:hint="default"/>
          <w:lang w:val="en-US"/>
        </w:rPr>
        <w:t>questions</w:t>
      </w:r>
      <w:r>
        <w:rPr>
          <w:lang w:val="en-US"/>
        </w:rPr>
        <w:t xml:space="preserve"> …………………………………………………</w:t>
      </w:r>
      <w:r>
        <w:rPr>
          <w:rFonts w:hint="default"/>
          <w:lang w:val="en-US"/>
        </w:rPr>
        <w:t>..</w:t>
      </w:r>
      <w:r>
        <w:rPr>
          <w:lang w:val="en-US"/>
        </w:rPr>
        <w:t>…………</w:t>
      </w:r>
      <w:r>
        <w:rPr>
          <w:rFonts w:hint="default"/>
          <w:lang w:val="en-US"/>
        </w:rPr>
        <w:t>….</w:t>
      </w:r>
      <w:r>
        <w:rPr>
          <w:lang w:val="en-US"/>
        </w:rPr>
        <w:t>…</w:t>
      </w:r>
      <w:r>
        <w:rPr>
          <w:rFonts w:hint="default"/>
          <w:lang w:val="en-US"/>
        </w:rPr>
        <w:t>.5</w:t>
      </w:r>
    </w:p>
    <w:p w14:paraId="705E83B0">
      <w:pPr>
        <w:spacing w:after="0" w:line="480" w:lineRule="auto"/>
        <w:rPr>
          <w:rFonts w:hint="default"/>
          <w:lang w:val="en-US"/>
        </w:rPr>
      </w:pPr>
      <w:r>
        <w:rPr>
          <w:rFonts w:hint="default"/>
          <w:lang w:val="en-US"/>
        </w:rPr>
        <w:t xml:space="preserve">   Significance of the study………………………………………………………………5</w:t>
      </w:r>
    </w:p>
    <w:p w14:paraId="4AD76A82">
      <w:pPr>
        <w:spacing w:after="0" w:line="480" w:lineRule="auto"/>
        <w:rPr>
          <w:rFonts w:hint="default"/>
          <w:lang w:val="en-US"/>
        </w:rPr>
      </w:pPr>
      <w:r>
        <w:rPr>
          <w:lang w:val="en-US"/>
        </w:rPr>
        <w:t xml:space="preserve">   </w:t>
      </w:r>
      <w:r>
        <w:rPr>
          <w:rFonts w:hint="default"/>
          <w:lang w:val="en-US"/>
        </w:rPr>
        <w:t>Delimitation</w:t>
      </w:r>
      <w:r>
        <w:rPr>
          <w:lang w:val="en-US"/>
        </w:rPr>
        <w:t xml:space="preserve"> of</w:t>
      </w:r>
      <w:r>
        <w:rPr>
          <w:rFonts w:hint="default"/>
          <w:lang w:val="en-US"/>
        </w:rPr>
        <w:t xml:space="preserve"> the</w:t>
      </w:r>
      <w:r>
        <w:rPr>
          <w:lang w:val="en-US"/>
        </w:rPr>
        <w:t xml:space="preserve"> </w:t>
      </w:r>
      <w:r>
        <w:rPr>
          <w:rFonts w:hint="default"/>
          <w:lang w:val="en-US"/>
        </w:rPr>
        <w:t>s</w:t>
      </w:r>
      <w:r>
        <w:rPr>
          <w:lang w:val="en-US"/>
        </w:rPr>
        <w:t>tudy ……………………………………………………..…</w:t>
      </w:r>
      <w:r>
        <w:rPr>
          <w:rFonts w:hint="default"/>
          <w:lang w:val="en-US"/>
        </w:rPr>
        <w:t>….</w:t>
      </w:r>
      <w:r>
        <w:rPr>
          <w:lang w:val="en-US"/>
        </w:rPr>
        <w:t>…</w:t>
      </w:r>
      <w:r>
        <w:rPr>
          <w:rFonts w:hint="default"/>
          <w:lang w:val="en-US"/>
        </w:rPr>
        <w:t>6</w:t>
      </w:r>
    </w:p>
    <w:p w14:paraId="4F7D4B1F">
      <w:pPr>
        <w:spacing w:after="0" w:line="480" w:lineRule="auto"/>
        <w:rPr>
          <w:rFonts w:hint="default"/>
          <w:lang w:val="en-US"/>
        </w:rPr>
      </w:pPr>
      <w:r>
        <w:rPr>
          <w:lang w:val="en-US"/>
        </w:rPr>
        <w:t xml:space="preserve">   </w:t>
      </w:r>
      <w:r>
        <w:rPr>
          <w:rFonts w:hint="default"/>
          <w:lang w:val="en-US"/>
        </w:rPr>
        <w:t>Research methods</w:t>
      </w:r>
      <w:r>
        <w:rPr>
          <w:lang w:val="en-US"/>
        </w:rPr>
        <w:t>…………………………………………………</w:t>
      </w:r>
      <w:r>
        <w:rPr>
          <w:rFonts w:hint="default"/>
          <w:lang w:val="en-US"/>
        </w:rPr>
        <w:t>…</w:t>
      </w:r>
      <w:r>
        <w:rPr>
          <w:lang w:val="en-US"/>
        </w:rPr>
        <w:t>……………</w:t>
      </w:r>
      <w:r>
        <w:rPr>
          <w:rFonts w:hint="default"/>
          <w:lang w:val="en-US"/>
        </w:rPr>
        <w:t>....</w:t>
      </w:r>
      <w:r>
        <w:rPr>
          <w:lang w:val="en-US"/>
        </w:rPr>
        <w:t>..</w:t>
      </w:r>
      <w:r>
        <w:rPr>
          <w:rFonts w:hint="default"/>
          <w:lang w:val="en-US"/>
        </w:rPr>
        <w:t>7</w:t>
      </w:r>
    </w:p>
    <w:p w14:paraId="3545199D">
      <w:pPr>
        <w:spacing w:after="0" w:line="480" w:lineRule="auto"/>
        <w:rPr>
          <w:rFonts w:hint="default"/>
          <w:lang w:val="en-US"/>
        </w:rPr>
      </w:pPr>
      <w:r>
        <w:rPr>
          <w:lang w:val="en-US"/>
        </w:rPr>
        <w:t xml:space="preserve">   Organisation of </w:t>
      </w:r>
      <w:r>
        <w:rPr>
          <w:rFonts w:hint="default"/>
          <w:lang w:val="en-US"/>
        </w:rPr>
        <w:t>the study</w:t>
      </w:r>
      <w:r>
        <w:rPr>
          <w:lang w:val="en-US"/>
        </w:rPr>
        <w:t>………………………………………………………</w:t>
      </w:r>
      <w:r>
        <w:rPr>
          <w:rFonts w:hint="default"/>
          <w:lang w:val="en-US"/>
        </w:rPr>
        <w:t>……</w:t>
      </w:r>
      <w:r>
        <w:rPr>
          <w:lang w:val="en-US"/>
        </w:rPr>
        <w:t>..</w:t>
      </w:r>
      <w:r>
        <w:rPr>
          <w:rFonts w:hint="default"/>
          <w:lang w:val="en-US"/>
        </w:rPr>
        <w:t>7</w:t>
      </w:r>
    </w:p>
    <w:p w14:paraId="22EE92DA">
      <w:pPr>
        <w:spacing w:after="0" w:line="480" w:lineRule="auto"/>
        <w:ind w:left="357"/>
        <w:rPr>
          <w:sz w:val="16"/>
          <w:szCs w:val="16"/>
        </w:rPr>
      </w:pPr>
    </w:p>
    <w:p w14:paraId="0F01828A">
      <w:pPr>
        <w:spacing w:after="0" w:line="480" w:lineRule="auto"/>
        <w:rPr>
          <w:rFonts w:hint="default"/>
          <w:caps/>
          <w:lang w:val="en-US"/>
        </w:rPr>
      </w:pPr>
      <w:r>
        <w:rPr>
          <w:b/>
          <w:bCs/>
          <w:caps/>
          <w:lang w:val="en-US"/>
        </w:rPr>
        <w:t>Chapter Two</w:t>
      </w:r>
      <w:r>
        <w:rPr>
          <w:b/>
          <w:bCs/>
          <w:lang w:val="en-US"/>
        </w:rPr>
        <w:t xml:space="preserve">: </w:t>
      </w:r>
      <w:r>
        <w:rPr>
          <w:b/>
          <w:bCs/>
          <w:caps/>
          <w:lang w:val="en-US"/>
        </w:rPr>
        <w:t xml:space="preserve">Literature Review </w:t>
      </w:r>
      <w:r>
        <w:rPr>
          <w:caps/>
          <w:lang w:val="en-US"/>
        </w:rPr>
        <w:t>………………………………………</w:t>
      </w:r>
      <w:r>
        <w:rPr>
          <w:rFonts w:hint="default"/>
          <w:caps/>
          <w:lang w:val="en-US"/>
        </w:rPr>
        <w:t>9</w:t>
      </w:r>
    </w:p>
    <w:p w14:paraId="34BB0F92">
      <w:pPr>
        <w:spacing w:after="0" w:line="480" w:lineRule="auto"/>
        <w:rPr>
          <w:rFonts w:hint="default"/>
          <w:b/>
          <w:bCs/>
          <w:lang w:val="en-US"/>
        </w:rPr>
      </w:pPr>
      <w:r>
        <w:rPr>
          <w:b/>
          <w:bCs/>
          <w:lang w:val="en-US"/>
        </w:rPr>
        <w:t xml:space="preserve">  Introduction </w:t>
      </w:r>
      <w:r>
        <w:rPr>
          <w:lang w:val="en-US"/>
        </w:rPr>
        <w:t>…………………………………</w:t>
      </w:r>
      <w:r>
        <w:rPr>
          <w:rFonts w:hint="default"/>
          <w:lang w:val="en-US"/>
        </w:rPr>
        <w:t>…..</w:t>
      </w:r>
      <w:r>
        <w:rPr>
          <w:lang w:val="en-US"/>
        </w:rPr>
        <w:t>…………………………………...</w:t>
      </w:r>
      <w:r>
        <w:rPr>
          <w:rFonts w:hint="default"/>
          <w:lang w:val="en-US"/>
        </w:rPr>
        <w:t>9</w:t>
      </w:r>
    </w:p>
    <w:p w14:paraId="47F9AB7E">
      <w:pPr>
        <w:spacing w:after="0" w:line="480" w:lineRule="auto"/>
        <w:rPr>
          <w:rFonts w:hint="default"/>
          <w:lang w:val="en-US"/>
        </w:rPr>
      </w:pPr>
      <w:r>
        <w:rPr>
          <w:lang w:val="en-US"/>
        </w:rPr>
        <w:t xml:space="preserve">   Definition </w:t>
      </w:r>
      <w:r>
        <w:rPr>
          <w:rFonts w:hint="default"/>
          <w:lang w:val="en-US"/>
        </w:rPr>
        <w:t xml:space="preserve">and review </w:t>
      </w:r>
      <w:r>
        <w:rPr>
          <w:lang w:val="en-US"/>
        </w:rPr>
        <w:t xml:space="preserve">of </w:t>
      </w:r>
      <w:r>
        <w:rPr>
          <w:rFonts w:hint="default"/>
          <w:lang w:val="en-US"/>
        </w:rPr>
        <w:t>c</w:t>
      </w:r>
      <w:r>
        <w:rPr>
          <w:lang w:val="en-US"/>
        </w:rPr>
        <w:t>oncepts………………………………………………..…</w:t>
      </w:r>
      <w:r>
        <w:rPr>
          <w:rFonts w:hint="default"/>
          <w:lang w:val="en-US"/>
        </w:rPr>
        <w:t>9</w:t>
      </w:r>
    </w:p>
    <w:p w14:paraId="073E7F02">
      <w:pPr>
        <w:spacing w:after="0" w:line="480" w:lineRule="auto"/>
        <w:rPr>
          <w:rFonts w:hint="default"/>
          <w:lang w:val="en-US"/>
        </w:rPr>
      </w:pPr>
      <w:r>
        <w:rPr>
          <w:lang w:val="en-US"/>
        </w:rPr>
        <w:t xml:space="preserve">     </w:t>
      </w:r>
      <w:r>
        <w:rPr>
          <w:rFonts w:hint="default"/>
          <w:lang w:val="en-US"/>
        </w:rPr>
        <w:t>Empirical review</w:t>
      </w:r>
      <w:r>
        <w:rPr>
          <w:lang w:val="en-US"/>
        </w:rPr>
        <w:t xml:space="preserve"> ……………………………………………</w:t>
      </w:r>
      <w:r>
        <w:rPr>
          <w:rFonts w:hint="default"/>
          <w:lang w:val="en-US"/>
        </w:rPr>
        <w:t>…</w:t>
      </w:r>
      <w:r>
        <w:rPr>
          <w:lang w:val="en-US"/>
        </w:rPr>
        <w:t>……………</w:t>
      </w:r>
      <w:r>
        <w:rPr>
          <w:rFonts w:hint="default"/>
          <w:lang w:val="en-US"/>
        </w:rPr>
        <w:t>……</w:t>
      </w:r>
      <w:r>
        <w:rPr>
          <w:lang w:val="en-US"/>
        </w:rPr>
        <w:t>.</w:t>
      </w:r>
      <w:r>
        <w:rPr>
          <w:rFonts w:hint="default"/>
          <w:lang w:val="en-US"/>
        </w:rPr>
        <w:t>20</w:t>
      </w:r>
    </w:p>
    <w:p w14:paraId="03702E0A">
      <w:pPr>
        <w:spacing w:after="0" w:line="480" w:lineRule="auto"/>
        <w:ind w:firstLine="240"/>
        <w:rPr>
          <w:rFonts w:hint="default"/>
          <w:lang w:val="en-US"/>
        </w:rPr>
      </w:pPr>
      <w:r>
        <w:rPr>
          <w:rFonts w:hint="default"/>
          <w:lang w:val="en-US"/>
        </w:rPr>
        <w:t>Theoretical foundations of the study</w:t>
      </w:r>
      <w:r>
        <w:rPr>
          <w:lang w:val="en-US"/>
        </w:rPr>
        <w:t>………………………………………………</w:t>
      </w:r>
      <w:r>
        <w:rPr>
          <w:rFonts w:hint="default"/>
          <w:lang w:val="en-US"/>
        </w:rPr>
        <w:t>.</w:t>
      </w:r>
      <w:r>
        <w:rPr>
          <w:lang w:val="en-US"/>
        </w:rPr>
        <w:t>2</w:t>
      </w:r>
      <w:r>
        <w:rPr>
          <w:rFonts w:hint="default"/>
          <w:lang w:val="en-US"/>
        </w:rPr>
        <w:t>3</w:t>
      </w:r>
    </w:p>
    <w:p w14:paraId="0091BCC1">
      <w:pPr>
        <w:spacing w:after="0" w:line="480" w:lineRule="auto"/>
        <w:ind w:firstLine="240"/>
        <w:rPr>
          <w:rFonts w:hint="default"/>
          <w:lang w:val="en-US"/>
        </w:rPr>
      </w:pPr>
      <w:r>
        <w:rPr>
          <w:rFonts w:hint="default"/>
          <w:lang w:val="en-US"/>
        </w:rPr>
        <w:t>Conceptual framework of the study………………………………………………..26</w:t>
      </w:r>
    </w:p>
    <w:p w14:paraId="0C6590A3">
      <w:pPr>
        <w:spacing w:after="0" w:line="480" w:lineRule="auto"/>
        <w:rPr>
          <w:rFonts w:hint="default"/>
          <w:lang w:val="en-US"/>
        </w:rPr>
      </w:pPr>
      <w:r>
        <w:rPr>
          <w:lang w:val="en-US"/>
        </w:rPr>
        <w:t xml:space="preserve">   </w:t>
      </w:r>
      <w:r>
        <w:rPr>
          <w:rFonts w:hint="default"/>
          <w:lang w:val="en-US"/>
        </w:rPr>
        <w:t xml:space="preserve"> </w:t>
      </w:r>
      <w:r>
        <w:rPr>
          <w:lang w:val="en-US"/>
        </w:rPr>
        <w:t>Hypotheses Development …………………………………………………………</w:t>
      </w:r>
      <w:r>
        <w:rPr>
          <w:rFonts w:hint="default"/>
          <w:lang w:val="en-US"/>
        </w:rPr>
        <w:t>28</w:t>
      </w:r>
    </w:p>
    <w:p w14:paraId="1E7A2A5F">
      <w:pPr>
        <w:spacing w:after="0" w:line="480" w:lineRule="auto"/>
        <w:rPr>
          <w:rFonts w:hint="default"/>
          <w:lang w:val="en-US"/>
        </w:rPr>
      </w:pPr>
      <w:r>
        <w:rPr>
          <w:lang w:val="en-US"/>
        </w:rPr>
        <w:t xml:space="preserve">   </w:t>
      </w:r>
      <w:r>
        <w:rPr>
          <w:rFonts w:hint="default"/>
          <w:lang w:val="en-US"/>
        </w:rPr>
        <w:t xml:space="preserve"> </w:t>
      </w:r>
      <w:r>
        <w:rPr>
          <w:lang w:val="en-US"/>
        </w:rPr>
        <w:t>Chapter Summary …………………………………………………………………3</w:t>
      </w:r>
      <w:r>
        <w:rPr>
          <w:rFonts w:hint="default"/>
          <w:lang w:val="en-US"/>
        </w:rPr>
        <w:t>2</w:t>
      </w:r>
    </w:p>
    <w:p w14:paraId="70C34E68">
      <w:pPr>
        <w:spacing w:after="0" w:line="480" w:lineRule="auto"/>
        <w:rPr>
          <w:sz w:val="16"/>
          <w:szCs w:val="16"/>
        </w:rPr>
      </w:pPr>
    </w:p>
    <w:p w14:paraId="2F6A7749">
      <w:pPr>
        <w:spacing w:after="0" w:line="480" w:lineRule="auto"/>
        <w:rPr>
          <w:rFonts w:hint="default"/>
          <w:caps/>
          <w:lang w:val="en-US"/>
        </w:rPr>
      </w:pPr>
      <w:r>
        <w:rPr>
          <w:b/>
          <w:bCs/>
          <w:caps/>
          <w:lang w:val="en-US"/>
        </w:rPr>
        <w:t xml:space="preserve">Chapter Three: </w:t>
      </w:r>
      <w:r>
        <w:rPr>
          <w:b/>
          <w:bCs/>
          <w:lang w:val="en-US"/>
        </w:rPr>
        <w:t xml:space="preserve"> </w:t>
      </w:r>
      <w:r>
        <w:rPr>
          <w:b/>
          <w:bCs/>
          <w:caps/>
          <w:lang w:val="en-US"/>
        </w:rPr>
        <w:t xml:space="preserve">Research Methodology </w:t>
      </w:r>
      <w:r>
        <w:rPr>
          <w:caps/>
          <w:lang w:val="en-US"/>
        </w:rPr>
        <w:t>………………………..…3</w:t>
      </w:r>
      <w:r>
        <w:rPr>
          <w:rFonts w:hint="default"/>
          <w:caps/>
          <w:lang w:val="en-US"/>
        </w:rPr>
        <w:t>3</w:t>
      </w:r>
    </w:p>
    <w:p w14:paraId="226EFC98">
      <w:pPr>
        <w:spacing w:after="0" w:line="480" w:lineRule="auto"/>
        <w:rPr>
          <w:rFonts w:hint="default"/>
          <w:lang w:val="en-US"/>
        </w:rPr>
      </w:pPr>
      <w:r>
        <w:rPr>
          <w:b/>
          <w:bCs/>
          <w:lang w:val="en-US"/>
        </w:rPr>
        <w:t xml:space="preserve">Introduction </w:t>
      </w:r>
      <w:r>
        <w:rPr>
          <w:lang w:val="en-US"/>
        </w:rPr>
        <w:t>………………………………………………………………………</w:t>
      </w:r>
      <w:r>
        <w:rPr>
          <w:rFonts w:hint="default"/>
          <w:lang w:val="en-US"/>
        </w:rPr>
        <w:t>…..</w:t>
      </w:r>
      <w:r>
        <w:rPr>
          <w:lang w:val="en-US"/>
        </w:rPr>
        <w:t>3</w:t>
      </w:r>
      <w:r>
        <w:rPr>
          <w:rFonts w:hint="default"/>
          <w:lang w:val="en-US"/>
        </w:rPr>
        <w:t>3</w:t>
      </w:r>
    </w:p>
    <w:p w14:paraId="16DD1B3A">
      <w:pPr>
        <w:spacing w:after="0" w:line="480" w:lineRule="auto"/>
        <w:rPr>
          <w:rFonts w:hint="default"/>
          <w:lang w:val="en-US"/>
        </w:rPr>
      </w:pPr>
      <w:r>
        <w:rPr>
          <w:lang w:val="en-US"/>
        </w:rPr>
        <w:t xml:space="preserve">    Research </w:t>
      </w:r>
      <w:r>
        <w:rPr>
          <w:rFonts w:hint="default"/>
          <w:lang w:val="en-US"/>
        </w:rPr>
        <w:t>d</w:t>
      </w:r>
      <w:r>
        <w:rPr>
          <w:lang w:val="en-US"/>
        </w:rPr>
        <w:t>esign…………………………………………………………………</w:t>
      </w:r>
      <w:r>
        <w:rPr>
          <w:rFonts w:hint="default"/>
          <w:lang w:val="en-US"/>
        </w:rPr>
        <w:t>…..</w:t>
      </w:r>
      <w:r>
        <w:rPr>
          <w:lang w:val="en-US"/>
        </w:rPr>
        <w:t>3</w:t>
      </w:r>
      <w:r>
        <w:rPr>
          <w:rFonts w:hint="default"/>
          <w:lang w:val="en-US"/>
        </w:rPr>
        <w:t>3</w:t>
      </w:r>
    </w:p>
    <w:p w14:paraId="3B6A48E7">
      <w:pPr>
        <w:spacing w:after="0" w:line="480" w:lineRule="auto"/>
        <w:rPr>
          <w:rFonts w:hint="default"/>
          <w:lang w:val="en-US"/>
        </w:rPr>
      </w:pPr>
      <w:r>
        <w:rPr>
          <w:lang w:val="en-US"/>
        </w:rPr>
        <w:t xml:space="preserve">    Research </w:t>
      </w:r>
      <w:r>
        <w:rPr>
          <w:rFonts w:hint="default"/>
          <w:lang w:val="en-US"/>
        </w:rPr>
        <w:t>p</w:t>
      </w:r>
      <w:r>
        <w:rPr>
          <w:lang w:val="en-US"/>
        </w:rPr>
        <w:t>opulation…………………………………………………………....…</w:t>
      </w:r>
      <w:r>
        <w:rPr>
          <w:rFonts w:hint="default"/>
          <w:lang w:val="en-US"/>
        </w:rPr>
        <w:t>…</w:t>
      </w:r>
      <w:r>
        <w:rPr>
          <w:lang w:val="en-US"/>
        </w:rPr>
        <w:t>3</w:t>
      </w:r>
      <w:r>
        <w:rPr>
          <w:rFonts w:hint="default"/>
          <w:lang w:val="en-US"/>
        </w:rPr>
        <w:t>4</w:t>
      </w:r>
    </w:p>
    <w:p w14:paraId="777B8EAC">
      <w:pPr>
        <w:spacing w:after="0" w:line="480" w:lineRule="auto"/>
        <w:rPr>
          <w:rFonts w:hint="default"/>
          <w:lang w:val="en-US"/>
        </w:rPr>
      </w:pPr>
      <w:r>
        <w:rPr>
          <w:lang w:val="en-US"/>
        </w:rPr>
        <w:t xml:space="preserve">    Sampling</w:t>
      </w:r>
      <w:r>
        <w:rPr>
          <w:rFonts w:hint="default"/>
          <w:lang w:val="en-US"/>
        </w:rPr>
        <w:t xml:space="preserve"> and sampling procedure</w:t>
      </w:r>
      <w:r>
        <w:rPr>
          <w:lang w:val="en-US"/>
        </w:rPr>
        <w:t>…………………………………………………</w:t>
      </w:r>
      <w:r>
        <w:rPr>
          <w:rFonts w:hint="default"/>
          <w:lang w:val="en-US"/>
        </w:rPr>
        <w:t>.</w:t>
      </w:r>
      <w:r>
        <w:rPr>
          <w:lang w:val="en-US"/>
        </w:rPr>
        <w:t>3</w:t>
      </w:r>
      <w:r>
        <w:rPr>
          <w:rFonts w:hint="default"/>
          <w:lang w:val="en-US"/>
        </w:rPr>
        <w:t>5</w:t>
      </w:r>
    </w:p>
    <w:p w14:paraId="2C9C5A9C">
      <w:pPr>
        <w:spacing w:after="0" w:line="480" w:lineRule="auto"/>
        <w:ind w:firstLine="240"/>
        <w:rPr>
          <w:rFonts w:hint="default"/>
          <w:lang w:val="en-US"/>
        </w:rPr>
      </w:pPr>
      <w:r>
        <w:rPr>
          <w:lang w:val="en-US"/>
        </w:rPr>
        <w:t xml:space="preserve">Data </w:t>
      </w:r>
      <w:r>
        <w:rPr>
          <w:rFonts w:hint="default"/>
          <w:lang w:val="en-US"/>
        </w:rPr>
        <w:t>c</w:t>
      </w:r>
      <w:r>
        <w:rPr>
          <w:lang w:val="en-US"/>
        </w:rPr>
        <w:t xml:space="preserve">ollection </w:t>
      </w:r>
      <w:r>
        <w:rPr>
          <w:rFonts w:hint="default"/>
          <w:lang w:val="en-US"/>
        </w:rPr>
        <w:t>…………..</w:t>
      </w:r>
      <w:r>
        <w:rPr>
          <w:lang w:val="en-US"/>
        </w:rPr>
        <w:t>…………………………………………………………</w:t>
      </w:r>
      <w:r>
        <w:rPr>
          <w:rFonts w:hint="default"/>
          <w:lang w:val="en-US"/>
        </w:rPr>
        <w:t>.36</w:t>
      </w:r>
    </w:p>
    <w:p w14:paraId="71C59F7D">
      <w:pPr>
        <w:spacing w:after="0" w:line="480" w:lineRule="auto"/>
        <w:ind w:firstLine="240"/>
        <w:rPr>
          <w:rFonts w:hint="default"/>
          <w:lang w:val="en-US"/>
        </w:rPr>
      </w:pPr>
      <w:r>
        <w:rPr>
          <w:rFonts w:hint="default"/>
          <w:lang w:val="en-US"/>
        </w:rPr>
        <w:t>Operationalisation of variables………………………………………….…………..37</w:t>
      </w:r>
    </w:p>
    <w:p w14:paraId="778A904C">
      <w:pPr>
        <w:spacing w:after="0" w:line="480" w:lineRule="auto"/>
        <w:ind w:firstLine="240"/>
        <w:rPr>
          <w:rFonts w:hint="default"/>
          <w:lang w:val="en-US"/>
        </w:rPr>
      </w:pPr>
      <w:r>
        <w:rPr>
          <w:rFonts w:hint="default"/>
          <w:lang w:val="en-US"/>
        </w:rPr>
        <w:t>Data collection procedure…………………………………………………………...39</w:t>
      </w:r>
    </w:p>
    <w:p w14:paraId="2FDEE746">
      <w:pPr>
        <w:spacing w:after="0" w:line="480" w:lineRule="auto"/>
        <w:ind w:firstLine="240"/>
        <w:rPr>
          <w:rFonts w:hint="default"/>
          <w:lang w:val="en-US"/>
        </w:rPr>
      </w:pPr>
      <w:r>
        <w:rPr>
          <w:lang w:val="en-US"/>
        </w:rPr>
        <w:t xml:space="preserve">Data </w:t>
      </w:r>
      <w:r>
        <w:rPr>
          <w:rFonts w:hint="default"/>
          <w:lang w:val="en-US"/>
        </w:rPr>
        <w:t>a</w:t>
      </w:r>
      <w:r>
        <w:rPr>
          <w:lang w:val="en-US"/>
        </w:rPr>
        <w:t xml:space="preserve">nalysis </w:t>
      </w:r>
      <w:r>
        <w:rPr>
          <w:rFonts w:hint="default"/>
          <w:lang w:val="en-US"/>
        </w:rPr>
        <w:t>p</w:t>
      </w:r>
      <w:r>
        <w:rPr>
          <w:lang w:val="en-US"/>
        </w:rPr>
        <w:t>rocedure …………………………</w:t>
      </w:r>
      <w:r>
        <w:rPr>
          <w:rFonts w:hint="default"/>
          <w:lang w:val="en-US"/>
        </w:rPr>
        <w:t>..</w:t>
      </w:r>
      <w:r>
        <w:rPr>
          <w:lang w:val="en-US"/>
        </w:rPr>
        <w:t>………</w:t>
      </w:r>
      <w:r>
        <w:rPr>
          <w:rFonts w:hint="default"/>
          <w:lang w:val="en-US"/>
        </w:rPr>
        <w:t>…</w:t>
      </w:r>
      <w:r>
        <w:rPr>
          <w:lang w:val="en-US"/>
        </w:rPr>
        <w:t>……………………..</w:t>
      </w:r>
      <w:r>
        <w:rPr>
          <w:rFonts w:hint="default"/>
          <w:lang w:val="en-US"/>
        </w:rPr>
        <w:t>40</w:t>
      </w:r>
    </w:p>
    <w:p w14:paraId="68A4E7A8">
      <w:pPr>
        <w:spacing w:after="0" w:line="480" w:lineRule="auto"/>
        <w:ind w:firstLine="240"/>
        <w:rPr>
          <w:rFonts w:hint="default"/>
          <w:lang w:val="en-US"/>
        </w:rPr>
      </w:pPr>
      <w:r>
        <w:rPr>
          <w:rFonts w:hint="default"/>
          <w:lang w:val="en-US"/>
        </w:rPr>
        <w:t>Reliability and validity testing.</w:t>
      </w:r>
      <w:r>
        <w:rPr>
          <w:lang w:val="en-US"/>
        </w:rPr>
        <w:t>……………………………………………………</w:t>
      </w:r>
      <w:r>
        <w:rPr>
          <w:rFonts w:hint="default"/>
          <w:lang w:val="en-US"/>
        </w:rPr>
        <w:t>..</w:t>
      </w:r>
      <w:r>
        <w:rPr>
          <w:lang w:val="en-US"/>
        </w:rPr>
        <w:t>4</w:t>
      </w:r>
      <w:r>
        <w:rPr>
          <w:rFonts w:hint="default"/>
          <w:lang w:val="en-US"/>
        </w:rPr>
        <w:t>1</w:t>
      </w:r>
    </w:p>
    <w:p w14:paraId="2B8C0707">
      <w:pPr>
        <w:spacing w:after="0" w:line="480" w:lineRule="auto"/>
        <w:ind w:firstLine="240"/>
        <w:rPr>
          <w:rFonts w:hint="default"/>
          <w:lang w:val="en-US"/>
        </w:rPr>
      </w:pPr>
      <w:r>
        <w:rPr>
          <w:rFonts w:hint="default"/>
          <w:lang w:val="en-US"/>
        </w:rPr>
        <w:t>Ethical considerations………………………………………………………………42</w:t>
      </w:r>
    </w:p>
    <w:p w14:paraId="29F9CFBB">
      <w:pPr>
        <w:spacing w:after="0" w:line="480" w:lineRule="auto"/>
        <w:rPr>
          <w:rFonts w:hint="default"/>
          <w:lang w:val="en-US"/>
        </w:rPr>
      </w:pPr>
      <w:r>
        <w:rPr>
          <w:lang w:val="en-US"/>
        </w:rPr>
        <w:t xml:space="preserve">    Chapter </w:t>
      </w:r>
      <w:r>
        <w:rPr>
          <w:rFonts w:hint="default"/>
          <w:lang w:val="en-US"/>
        </w:rPr>
        <w:t>s</w:t>
      </w:r>
      <w:r>
        <w:rPr>
          <w:lang w:val="en-US"/>
        </w:rPr>
        <w:t>ummary……………………………</w:t>
      </w:r>
      <w:r>
        <w:rPr>
          <w:rFonts w:hint="default"/>
          <w:lang w:val="en-US"/>
        </w:rPr>
        <w:t>…..</w:t>
      </w:r>
      <w:r>
        <w:rPr>
          <w:lang w:val="en-US"/>
        </w:rPr>
        <w:t>……………………………….....4</w:t>
      </w:r>
      <w:r>
        <w:rPr>
          <w:rFonts w:hint="default"/>
          <w:lang w:val="en-US"/>
        </w:rPr>
        <w:t>2</w:t>
      </w:r>
    </w:p>
    <w:p w14:paraId="42941297">
      <w:pPr>
        <w:spacing w:after="0" w:line="480" w:lineRule="auto"/>
        <w:rPr>
          <w:sz w:val="16"/>
          <w:szCs w:val="16"/>
          <w:lang w:val="en-US"/>
        </w:rPr>
      </w:pPr>
    </w:p>
    <w:p w14:paraId="6A97D6CC">
      <w:pPr>
        <w:spacing w:after="0" w:line="480" w:lineRule="auto"/>
        <w:rPr>
          <w:rFonts w:hint="default"/>
          <w:b/>
          <w:bCs/>
          <w:lang w:val="en-US"/>
        </w:rPr>
      </w:pPr>
      <w:r>
        <w:rPr>
          <w:b/>
          <w:bCs/>
          <w:lang w:val="en-US"/>
        </w:rPr>
        <w:t xml:space="preserve">CHAPTER FOUR: </w:t>
      </w:r>
      <w:r>
        <w:rPr>
          <w:b/>
          <w:bCs/>
          <w:caps/>
          <w:lang w:val="en-US"/>
        </w:rPr>
        <w:t xml:space="preserve">Data Analysis </w:t>
      </w:r>
      <w:r>
        <w:rPr>
          <w:caps/>
          <w:lang w:val="en-US"/>
        </w:rPr>
        <w:t>……………………………………………..4</w:t>
      </w:r>
      <w:r>
        <w:rPr>
          <w:rFonts w:hint="default"/>
          <w:caps/>
          <w:lang w:val="en-US"/>
        </w:rPr>
        <w:t>4</w:t>
      </w:r>
    </w:p>
    <w:p w14:paraId="7D13A341">
      <w:pPr>
        <w:spacing w:after="0" w:line="480" w:lineRule="auto"/>
        <w:rPr>
          <w:rFonts w:hint="default"/>
          <w:lang w:val="en-US"/>
        </w:rPr>
      </w:pPr>
      <w:r>
        <w:rPr>
          <w:b/>
          <w:bCs/>
          <w:lang w:val="en-US"/>
        </w:rPr>
        <w:t xml:space="preserve">Introduction </w:t>
      </w:r>
      <w:r>
        <w:rPr>
          <w:lang w:val="en-US"/>
        </w:rPr>
        <w:t>…………………</w:t>
      </w:r>
      <w:r>
        <w:rPr>
          <w:rFonts w:hint="default"/>
          <w:lang w:val="en-US"/>
        </w:rPr>
        <w:t>…..</w:t>
      </w:r>
      <w:r>
        <w:rPr>
          <w:lang w:val="en-US"/>
        </w:rPr>
        <w:t>……………………………………………………4</w:t>
      </w:r>
      <w:r>
        <w:rPr>
          <w:rFonts w:hint="default"/>
          <w:lang w:val="en-US"/>
        </w:rPr>
        <w:t>4</w:t>
      </w:r>
    </w:p>
    <w:p w14:paraId="34302A73">
      <w:pPr>
        <w:spacing w:after="0" w:line="480" w:lineRule="auto"/>
        <w:rPr>
          <w:rFonts w:hint="default"/>
          <w:lang w:val="en-US"/>
        </w:rPr>
      </w:pPr>
      <w:r>
        <w:rPr>
          <w:lang w:val="en-US"/>
        </w:rPr>
        <w:t xml:space="preserve">     Demographic </w:t>
      </w:r>
      <w:r>
        <w:rPr>
          <w:rFonts w:hint="default"/>
          <w:lang w:val="en-US"/>
        </w:rPr>
        <w:t>characteristics…………………</w:t>
      </w:r>
      <w:r>
        <w:rPr>
          <w:lang w:val="en-US"/>
        </w:rPr>
        <w:t xml:space="preserve"> …………………………………….4</w:t>
      </w:r>
      <w:r>
        <w:rPr>
          <w:rFonts w:hint="default"/>
          <w:lang w:val="en-US"/>
        </w:rPr>
        <w:t>4</w:t>
      </w:r>
    </w:p>
    <w:p w14:paraId="606258E4">
      <w:pPr>
        <w:spacing w:after="0" w:line="480" w:lineRule="auto"/>
        <w:rPr>
          <w:rFonts w:hint="default"/>
          <w:lang w:val="en-US"/>
        </w:rPr>
      </w:pPr>
      <w:r>
        <w:rPr>
          <w:rFonts w:hint="default"/>
          <w:lang w:val="en-US"/>
        </w:rPr>
        <w:t xml:space="preserve">     Reliability test………………………………………………………………………47</w:t>
      </w:r>
    </w:p>
    <w:p w14:paraId="5FEA10D1">
      <w:pPr>
        <w:spacing w:after="0" w:line="480" w:lineRule="auto"/>
        <w:rPr>
          <w:rFonts w:hint="default"/>
          <w:lang w:val="en-US"/>
        </w:rPr>
      </w:pPr>
      <w:r>
        <w:rPr>
          <w:lang w:val="en-US"/>
        </w:rPr>
        <w:t xml:space="preserve">     Descriptive </w:t>
      </w:r>
      <w:r>
        <w:rPr>
          <w:rFonts w:hint="default"/>
          <w:lang w:val="en-US"/>
        </w:rPr>
        <w:t>s</w:t>
      </w:r>
      <w:r>
        <w:rPr>
          <w:lang w:val="en-US"/>
        </w:rPr>
        <w:t>tatistics</w:t>
      </w:r>
      <w:r>
        <w:rPr>
          <w:rFonts w:hint="default"/>
          <w:lang w:val="en-US"/>
        </w:rPr>
        <w:t>…………….</w:t>
      </w:r>
      <w:r>
        <w:rPr>
          <w:lang w:val="en-US"/>
        </w:rPr>
        <w:t>………………</w:t>
      </w:r>
      <w:r>
        <w:rPr>
          <w:rFonts w:hint="default"/>
          <w:lang w:val="en-US"/>
        </w:rPr>
        <w:t>…..</w:t>
      </w:r>
      <w:r>
        <w:rPr>
          <w:lang w:val="en-US"/>
        </w:rPr>
        <w:t>……………………………..5</w:t>
      </w:r>
      <w:r>
        <w:rPr>
          <w:rFonts w:hint="default"/>
          <w:lang w:val="en-US"/>
        </w:rPr>
        <w:t>3</w:t>
      </w:r>
    </w:p>
    <w:p w14:paraId="50EA8362">
      <w:pPr>
        <w:spacing w:after="0" w:line="480" w:lineRule="auto"/>
        <w:rPr>
          <w:rFonts w:hint="default"/>
          <w:lang w:val="en-US"/>
        </w:rPr>
      </w:pPr>
      <w:r>
        <w:rPr>
          <w:lang w:val="en-US"/>
        </w:rPr>
        <w:t xml:space="preserve">     Inferential </w:t>
      </w:r>
      <w:r>
        <w:rPr>
          <w:rFonts w:hint="default"/>
          <w:lang w:val="en-US"/>
        </w:rPr>
        <w:t>s</w:t>
      </w:r>
      <w:r>
        <w:rPr>
          <w:lang w:val="en-US"/>
        </w:rPr>
        <w:t>tatistics</w:t>
      </w:r>
      <w:r>
        <w:rPr>
          <w:rFonts w:hint="default"/>
          <w:lang w:val="en-US"/>
        </w:rPr>
        <w:t>………………………………………………………………...57</w:t>
      </w:r>
    </w:p>
    <w:p w14:paraId="4F6F5E4D">
      <w:pPr>
        <w:spacing w:after="0" w:line="480" w:lineRule="auto"/>
        <w:rPr>
          <w:rFonts w:hint="default"/>
          <w:lang w:val="en-US"/>
        </w:rPr>
      </w:pPr>
      <w:r>
        <w:rPr>
          <w:lang w:val="en-US"/>
        </w:rPr>
        <w:t xml:space="preserve">       </w:t>
      </w:r>
      <w:r>
        <w:rPr>
          <w:rFonts w:hint="default"/>
          <w:lang w:val="en-US"/>
        </w:rPr>
        <w:t xml:space="preserve">  </w:t>
      </w:r>
      <w:r>
        <w:rPr>
          <w:lang w:val="en-US"/>
        </w:rPr>
        <w:t xml:space="preserve"> </w:t>
      </w:r>
      <w:r>
        <w:rPr>
          <w:rFonts w:hint="default"/>
          <w:lang w:val="en-US"/>
        </w:rPr>
        <w:t xml:space="preserve">  </w:t>
      </w:r>
      <w:r>
        <w:rPr>
          <w:lang w:val="en-US"/>
        </w:rPr>
        <w:t xml:space="preserve">Correlation </w:t>
      </w:r>
      <w:r>
        <w:rPr>
          <w:rFonts w:hint="default"/>
          <w:lang w:val="en-US"/>
        </w:rPr>
        <w:t>analysis</w:t>
      </w:r>
      <w:r>
        <w:rPr>
          <w:lang w:val="en-US"/>
        </w:rPr>
        <w:t>……………</w:t>
      </w:r>
      <w:r>
        <w:rPr>
          <w:rFonts w:hint="default"/>
          <w:lang w:val="en-US"/>
        </w:rPr>
        <w:t>..</w:t>
      </w:r>
      <w:r>
        <w:rPr>
          <w:lang w:val="en-US"/>
        </w:rPr>
        <w:t>…………………………</w:t>
      </w:r>
      <w:r>
        <w:rPr>
          <w:rFonts w:hint="default"/>
          <w:lang w:val="en-US"/>
        </w:rPr>
        <w:t>……</w:t>
      </w:r>
      <w:r>
        <w:rPr>
          <w:lang w:val="en-US"/>
        </w:rPr>
        <w:t>…………….5</w:t>
      </w:r>
      <w:r>
        <w:rPr>
          <w:rFonts w:hint="default"/>
          <w:lang w:val="en-US"/>
        </w:rPr>
        <w:t>7</w:t>
      </w:r>
    </w:p>
    <w:p w14:paraId="113964A2">
      <w:pPr>
        <w:spacing w:after="0" w:line="480" w:lineRule="auto"/>
        <w:rPr>
          <w:rFonts w:hint="default"/>
          <w:lang w:val="en-US"/>
        </w:rPr>
      </w:pPr>
      <w:r>
        <w:rPr>
          <w:lang w:val="en-US"/>
        </w:rPr>
        <w:t xml:space="preserve">        </w:t>
      </w:r>
      <w:r>
        <w:rPr>
          <w:rFonts w:hint="default"/>
          <w:lang w:val="en-US"/>
        </w:rPr>
        <w:t xml:space="preserve">    </w:t>
      </w:r>
      <w:r>
        <w:rPr>
          <w:lang w:val="en-US"/>
        </w:rPr>
        <w:t xml:space="preserve">Regression </w:t>
      </w:r>
      <w:r>
        <w:rPr>
          <w:rFonts w:hint="default"/>
          <w:lang w:val="en-US"/>
        </w:rPr>
        <w:t>a</w:t>
      </w:r>
      <w:r>
        <w:rPr>
          <w:lang w:val="en-US"/>
        </w:rPr>
        <w:t>nalysis………………………………………</w:t>
      </w:r>
      <w:r>
        <w:rPr>
          <w:rFonts w:hint="default"/>
          <w:lang w:val="en-US"/>
        </w:rPr>
        <w:t>….</w:t>
      </w:r>
      <w:r>
        <w:rPr>
          <w:lang w:val="en-US"/>
        </w:rPr>
        <w:t>……………….</w:t>
      </w:r>
      <w:r>
        <w:rPr>
          <w:rFonts w:hint="default"/>
          <w:lang w:val="en-US"/>
        </w:rPr>
        <w:t>.58</w:t>
      </w:r>
    </w:p>
    <w:p w14:paraId="1FD6A342">
      <w:pPr>
        <w:spacing w:after="0" w:line="480" w:lineRule="auto"/>
        <w:rPr>
          <w:rFonts w:hint="default"/>
          <w:lang w:val="en-US"/>
        </w:rPr>
      </w:pPr>
      <w:r>
        <w:rPr>
          <w:rFonts w:hint="default"/>
          <w:lang w:val="en-US"/>
        </w:rPr>
        <w:t xml:space="preserve">            Mediation analysis……………………………………………………………59</w:t>
      </w:r>
    </w:p>
    <w:p w14:paraId="5D74BD9A">
      <w:pPr>
        <w:spacing w:after="0" w:line="480" w:lineRule="auto"/>
        <w:rPr>
          <w:rFonts w:hint="default"/>
          <w:lang w:val="en-US"/>
        </w:rPr>
      </w:pPr>
      <w:r>
        <w:rPr>
          <w:lang w:val="en-US"/>
        </w:rPr>
        <w:t xml:space="preserve">     Discussion of </w:t>
      </w:r>
      <w:r>
        <w:rPr>
          <w:rFonts w:hint="default"/>
          <w:lang w:val="en-US"/>
        </w:rPr>
        <w:t>r</w:t>
      </w:r>
      <w:r>
        <w:rPr>
          <w:lang w:val="en-US"/>
        </w:rPr>
        <w:t>esults ………………………………………</w:t>
      </w:r>
      <w:r>
        <w:rPr>
          <w:rFonts w:hint="default"/>
          <w:lang w:val="en-US"/>
        </w:rPr>
        <w:t>….</w:t>
      </w:r>
      <w:r>
        <w:rPr>
          <w:lang w:val="en-US"/>
        </w:rPr>
        <w:t>…………………..</w:t>
      </w:r>
      <w:r>
        <w:rPr>
          <w:rFonts w:hint="default"/>
          <w:lang w:val="en-US"/>
        </w:rPr>
        <w:t>62</w:t>
      </w:r>
    </w:p>
    <w:p w14:paraId="49C6F199">
      <w:pPr>
        <w:spacing w:after="0" w:line="480" w:lineRule="auto"/>
        <w:rPr>
          <w:rFonts w:hint="default"/>
          <w:lang w:val="en-US"/>
        </w:rPr>
      </w:pPr>
      <w:r>
        <w:rPr>
          <w:lang w:val="en-US"/>
        </w:rPr>
        <w:t xml:space="preserve">         </w:t>
      </w:r>
      <w:r>
        <w:rPr>
          <w:rFonts w:hint="default"/>
          <w:lang w:val="en-US"/>
        </w:rPr>
        <w:t xml:space="preserve">        </w:t>
      </w:r>
      <w:r>
        <w:rPr>
          <w:lang w:val="en-US"/>
        </w:rPr>
        <w:t xml:space="preserve">Research </w:t>
      </w:r>
      <w:r>
        <w:rPr>
          <w:rFonts w:hint="default"/>
          <w:lang w:val="en-US"/>
        </w:rPr>
        <w:t>o</w:t>
      </w:r>
      <w:r>
        <w:rPr>
          <w:lang w:val="en-US"/>
        </w:rPr>
        <w:t>bjective 1………………………………………………………</w:t>
      </w:r>
      <w:r>
        <w:rPr>
          <w:rFonts w:hint="default"/>
          <w:lang w:val="en-US"/>
        </w:rPr>
        <w:t>62</w:t>
      </w:r>
    </w:p>
    <w:p w14:paraId="6F0D2310">
      <w:pPr>
        <w:spacing w:after="0" w:line="480" w:lineRule="auto"/>
        <w:rPr>
          <w:rFonts w:hint="default"/>
          <w:lang w:val="en-US"/>
        </w:rPr>
      </w:pPr>
      <w:r>
        <w:rPr>
          <w:lang w:val="en-US"/>
        </w:rPr>
        <w:t xml:space="preserve">         </w:t>
      </w:r>
      <w:r>
        <w:rPr>
          <w:rFonts w:hint="default"/>
          <w:lang w:val="en-US"/>
        </w:rPr>
        <w:t xml:space="preserve">     </w:t>
      </w:r>
      <w:r>
        <w:rPr>
          <w:lang w:val="en-US"/>
        </w:rPr>
        <w:t xml:space="preserve"> </w:t>
      </w:r>
      <w:r>
        <w:rPr>
          <w:rFonts w:hint="default"/>
          <w:lang w:val="en-US"/>
        </w:rPr>
        <w:t xml:space="preserve">   </w:t>
      </w:r>
      <w:r>
        <w:rPr>
          <w:lang w:val="en-US"/>
        </w:rPr>
        <w:t xml:space="preserve">Research </w:t>
      </w:r>
      <w:r>
        <w:rPr>
          <w:rFonts w:hint="default"/>
          <w:lang w:val="en-US"/>
        </w:rPr>
        <w:t>o</w:t>
      </w:r>
      <w:r>
        <w:rPr>
          <w:lang w:val="en-US"/>
        </w:rPr>
        <w:t>bjective 2………………………………………………………</w:t>
      </w:r>
      <w:r>
        <w:rPr>
          <w:rFonts w:hint="default"/>
          <w:lang w:val="en-US"/>
        </w:rPr>
        <w:t>62</w:t>
      </w:r>
    </w:p>
    <w:p w14:paraId="55A60DEA">
      <w:pPr>
        <w:spacing w:after="0" w:line="480" w:lineRule="auto"/>
        <w:rPr>
          <w:rFonts w:hint="default"/>
          <w:lang w:val="en-US"/>
        </w:rPr>
      </w:pPr>
      <w:r>
        <w:rPr>
          <w:lang w:val="en-US"/>
        </w:rPr>
        <w:t xml:space="preserve">         </w:t>
      </w:r>
      <w:r>
        <w:rPr>
          <w:rFonts w:hint="default"/>
          <w:lang w:val="en-US"/>
        </w:rPr>
        <w:t xml:space="preserve">        </w:t>
      </w:r>
      <w:r>
        <w:rPr>
          <w:lang w:val="en-US"/>
        </w:rPr>
        <w:t xml:space="preserve">Research </w:t>
      </w:r>
      <w:r>
        <w:rPr>
          <w:rFonts w:hint="default"/>
          <w:lang w:val="en-US"/>
        </w:rPr>
        <w:t>o</w:t>
      </w:r>
      <w:r>
        <w:rPr>
          <w:lang w:val="en-US"/>
        </w:rPr>
        <w:t>bjective 3………………………………………………………</w:t>
      </w:r>
      <w:r>
        <w:rPr>
          <w:rFonts w:hint="default"/>
          <w:lang w:val="en-US"/>
        </w:rPr>
        <w:t>.</w:t>
      </w:r>
      <w:r>
        <w:rPr>
          <w:lang w:val="en-US"/>
        </w:rPr>
        <w:t>6</w:t>
      </w:r>
      <w:r>
        <w:rPr>
          <w:rFonts w:hint="default"/>
          <w:lang w:val="en-US"/>
        </w:rPr>
        <w:t>3</w:t>
      </w:r>
    </w:p>
    <w:p w14:paraId="73DC7443">
      <w:pPr>
        <w:spacing w:after="0" w:line="480" w:lineRule="auto"/>
        <w:rPr>
          <w:rFonts w:hint="default"/>
          <w:lang w:val="en-US"/>
        </w:rPr>
      </w:pPr>
      <w:r>
        <w:rPr>
          <w:lang w:val="en-US"/>
        </w:rPr>
        <w:t xml:space="preserve">   Chapter </w:t>
      </w:r>
      <w:r>
        <w:rPr>
          <w:rFonts w:hint="default"/>
          <w:lang w:val="en-US"/>
        </w:rPr>
        <w:t>s</w:t>
      </w:r>
      <w:r>
        <w:rPr>
          <w:lang w:val="en-US"/>
        </w:rPr>
        <w:t>ummary …………………………………</w:t>
      </w:r>
      <w:r>
        <w:rPr>
          <w:rFonts w:hint="default"/>
          <w:lang w:val="en-US"/>
        </w:rPr>
        <w:t>……</w:t>
      </w:r>
      <w:r>
        <w:rPr>
          <w:lang w:val="en-US"/>
        </w:rPr>
        <w:t>…………………………...6</w:t>
      </w:r>
      <w:r>
        <w:rPr>
          <w:rFonts w:hint="default"/>
          <w:lang w:val="en-US"/>
        </w:rPr>
        <w:t>4</w:t>
      </w:r>
    </w:p>
    <w:p w14:paraId="0E82A717">
      <w:pPr>
        <w:spacing w:after="0" w:line="480" w:lineRule="auto"/>
        <w:rPr>
          <w:lang w:val="en-US"/>
        </w:rPr>
      </w:pPr>
    </w:p>
    <w:p w14:paraId="45B89E21">
      <w:pPr>
        <w:spacing w:after="0" w:line="480" w:lineRule="auto"/>
      </w:pPr>
      <w:r>
        <w:rPr>
          <w:b/>
          <w:bCs/>
          <w:lang w:val="en-US"/>
        </w:rPr>
        <w:t xml:space="preserve">CHAPTER FIVE: </w:t>
      </w:r>
      <w:r>
        <w:rPr>
          <w:b/>
          <w:bCs/>
          <w:caps/>
          <w:lang w:val="en-US"/>
        </w:rPr>
        <w:t>Summary, Conclusions and Recommendations</w:t>
      </w:r>
    </w:p>
    <w:p w14:paraId="0BC3DAC9">
      <w:pPr>
        <w:spacing w:after="0" w:line="480" w:lineRule="auto"/>
        <w:rPr>
          <w:rFonts w:hint="default"/>
          <w:lang w:val="en-US"/>
        </w:rPr>
      </w:pPr>
      <w:r>
        <w:rPr>
          <w:b/>
          <w:bCs/>
          <w:lang w:val="en-US"/>
        </w:rPr>
        <w:t>Introduction</w:t>
      </w:r>
      <w:r>
        <w:rPr>
          <w:lang w:val="en-US"/>
        </w:rPr>
        <w:t>…………………………………</w:t>
      </w:r>
      <w:r>
        <w:rPr>
          <w:rFonts w:hint="default"/>
          <w:lang w:val="en-US"/>
        </w:rPr>
        <w:t>….</w:t>
      </w:r>
      <w:r>
        <w:rPr>
          <w:lang w:val="en-US"/>
        </w:rPr>
        <w:t>…………………………………….6</w:t>
      </w:r>
      <w:r>
        <w:rPr>
          <w:rFonts w:hint="default"/>
          <w:lang w:val="en-US"/>
        </w:rPr>
        <w:t>6</w:t>
      </w:r>
    </w:p>
    <w:p w14:paraId="73ACFDE6">
      <w:pPr>
        <w:spacing w:after="0" w:line="480" w:lineRule="auto"/>
        <w:rPr>
          <w:rFonts w:hint="default"/>
          <w:lang w:val="en-US"/>
        </w:rPr>
      </w:pPr>
      <w:r>
        <w:rPr>
          <w:lang w:val="en-US"/>
        </w:rPr>
        <w:t xml:space="preserve">    Summary of </w:t>
      </w:r>
      <w:r>
        <w:rPr>
          <w:rFonts w:hint="default"/>
          <w:lang w:val="en-US"/>
        </w:rPr>
        <w:t>f</w:t>
      </w:r>
      <w:r>
        <w:rPr>
          <w:lang w:val="en-US"/>
        </w:rPr>
        <w:t>indings ………………………</w:t>
      </w:r>
      <w:r>
        <w:rPr>
          <w:rFonts w:hint="default"/>
          <w:lang w:val="en-US"/>
        </w:rPr>
        <w:t>….</w:t>
      </w:r>
      <w:r>
        <w:rPr>
          <w:lang w:val="en-US"/>
        </w:rPr>
        <w:t>…………………………………...6</w:t>
      </w:r>
      <w:r>
        <w:rPr>
          <w:rFonts w:hint="default"/>
          <w:lang w:val="en-US"/>
        </w:rPr>
        <w:t>6</w:t>
      </w:r>
    </w:p>
    <w:p w14:paraId="4E955930">
      <w:pPr>
        <w:spacing w:after="0" w:line="480" w:lineRule="auto"/>
        <w:rPr>
          <w:rFonts w:hint="default"/>
          <w:lang w:val="en-US"/>
        </w:rPr>
      </w:pPr>
      <w:r>
        <w:rPr>
          <w:lang w:val="en-US"/>
        </w:rPr>
        <w:t xml:space="preserve">    Conclusions……</w:t>
      </w:r>
      <w:r>
        <w:rPr>
          <w:rFonts w:hint="default"/>
          <w:lang w:val="en-US"/>
        </w:rPr>
        <w:t>….</w:t>
      </w:r>
      <w:r>
        <w:rPr>
          <w:lang w:val="en-US"/>
        </w:rPr>
        <w:t>………………………………………………………………...</w:t>
      </w:r>
      <w:r>
        <w:rPr>
          <w:rFonts w:hint="default"/>
          <w:lang w:val="en-US"/>
        </w:rPr>
        <w:t>67</w:t>
      </w:r>
    </w:p>
    <w:p w14:paraId="7BE47580">
      <w:pPr>
        <w:spacing w:after="0" w:line="480" w:lineRule="auto"/>
        <w:rPr>
          <w:rFonts w:hint="default"/>
          <w:lang w:val="en-US"/>
        </w:rPr>
      </w:pPr>
      <w:r>
        <w:rPr>
          <w:lang w:val="en-US"/>
        </w:rPr>
        <w:t xml:space="preserve">    Recommendations………………………………………………………………</w:t>
      </w:r>
      <w:r>
        <w:rPr>
          <w:rFonts w:hint="default"/>
          <w:lang w:val="en-US"/>
        </w:rPr>
        <w:t>….68</w:t>
      </w:r>
    </w:p>
    <w:p w14:paraId="116FF786">
      <w:pPr>
        <w:spacing w:after="0" w:line="480" w:lineRule="auto"/>
        <w:ind w:firstLine="240" w:firstLineChars="100"/>
        <w:rPr>
          <w:rFonts w:hint="default"/>
          <w:lang w:val="en-US"/>
        </w:rPr>
      </w:pPr>
      <w:r>
        <w:rPr>
          <w:rFonts w:hint="default"/>
          <w:lang w:val="en-US"/>
        </w:rPr>
        <w:t xml:space="preserve"> </w:t>
      </w:r>
      <w:r>
        <w:rPr>
          <w:lang w:val="en-US"/>
        </w:rPr>
        <w:t xml:space="preserve">Limitations </w:t>
      </w:r>
      <w:r>
        <w:rPr>
          <w:rFonts w:hint="default"/>
          <w:lang w:val="en-US"/>
        </w:rPr>
        <w:t xml:space="preserve">and directions for future research </w:t>
      </w:r>
      <w:r>
        <w:rPr>
          <w:lang w:val="en-US"/>
        </w:rPr>
        <w:t>……………………………………</w:t>
      </w:r>
      <w:r>
        <w:rPr>
          <w:rFonts w:hint="default"/>
          <w:lang w:val="en-US"/>
        </w:rPr>
        <w:t>69</w:t>
      </w:r>
    </w:p>
    <w:p w14:paraId="38D3A4CB">
      <w:pPr>
        <w:spacing w:after="0" w:line="480" w:lineRule="auto"/>
        <w:rPr>
          <w:b/>
          <w:bCs/>
        </w:rPr>
      </w:pPr>
    </w:p>
    <w:p w14:paraId="786D4F14">
      <w:pPr>
        <w:spacing w:after="0" w:line="480" w:lineRule="auto"/>
        <w:rPr>
          <w:rFonts w:hint="default"/>
          <w:b/>
          <w:bCs/>
          <w:lang w:val="en-US"/>
        </w:rPr>
      </w:pPr>
      <w:r>
        <w:rPr>
          <w:b/>
          <w:bCs/>
        </w:rPr>
        <w:t>RRFERENCE</w:t>
      </w:r>
      <w:r>
        <w:rPr>
          <w:rFonts w:hint="default"/>
          <w:b/>
          <w:bCs/>
          <w:lang w:val="en-US"/>
        </w:rPr>
        <w:t>S</w:t>
      </w:r>
    </w:p>
    <w:p w14:paraId="3CFC2F4C">
      <w:pPr>
        <w:spacing w:after="0" w:line="480" w:lineRule="auto"/>
        <w:rPr>
          <w:b/>
          <w:bCs/>
        </w:rPr>
      </w:pPr>
    </w:p>
    <w:p w14:paraId="2C88EAA4">
      <w:pPr>
        <w:spacing w:after="0" w:line="480" w:lineRule="auto"/>
      </w:pPr>
      <w:r>
        <w:rPr>
          <w:b/>
          <w:bCs/>
        </w:rPr>
        <w:t xml:space="preserve">APPENDIX </w:t>
      </w:r>
    </w:p>
    <w:p w14:paraId="2BAC516B">
      <w:pPr>
        <w:spacing w:after="0" w:line="480" w:lineRule="auto"/>
      </w:pPr>
    </w:p>
    <w:p w14:paraId="51576936">
      <w:pPr>
        <w:spacing w:after="0" w:line="480" w:lineRule="auto"/>
      </w:pPr>
    </w:p>
    <w:p w14:paraId="107D6A99">
      <w:pPr>
        <w:spacing w:after="0" w:line="480" w:lineRule="auto"/>
        <w:rPr>
          <w:rFonts w:hint="default"/>
          <w:lang w:val="en-US"/>
        </w:rPr>
      </w:pPr>
      <w:r>
        <w:rPr>
          <w:rFonts w:hint="default"/>
          <w:lang w:val="en-US"/>
        </w:rPr>
        <w:t>LIST OF FIGURE</w:t>
      </w:r>
    </w:p>
    <w:p w14:paraId="215E3CC0">
      <w:pPr>
        <w:spacing w:after="0" w:line="480" w:lineRule="auto"/>
        <w:rPr>
          <w:rFonts w:hint="default"/>
          <w:lang w:val="en-US"/>
        </w:rPr>
      </w:pPr>
      <w:r>
        <w:rPr>
          <w:rFonts w:hint="default"/>
          <w:lang w:val="en-US"/>
        </w:rPr>
        <w:t>Figure 1: Conceptual framework of the study…………………………………………27</w:t>
      </w:r>
    </w:p>
    <w:p w14:paraId="46F160A5">
      <w:pPr>
        <w:spacing w:after="0" w:line="480" w:lineRule="auto"/>
        <w:rPr>
          <w:rFonts w:hint="default"/>
          <w:lang w:val="en-US"/>
        </w:rPr>
      </w:pPr>
    </w:p>
    <w:p w14:paraId="37D4882B">
      <w:pPr>
        <w:spacing w:after="0" w:line="480" w:lineRule="auto"/>
        <w:rPr>
          <w:rFonts w:hint="default"/>
          <w:lang w:val="en-US"/>
        </w:rPr>
      </w:pPr>
      <w:r>
        <w:rPr>
          <w:rFonts w:hint="default"/>
          <w:lang w:val="en-US"/>
        </w:rPr>
        <w:t>LIST OF TABLE</w:t>
      </w:r>
    </w:p>
    <w:p w14:paraId="5AD5584C">
      <w:pPr>
        <w:spacing w:after="0" w:line="480" w:lineRule="auto"/>
        <w:rPr>
          <w:rFonts w:hint="default"/>
          <w:lang w:val="en-US"/>
        </w:rPr>
      </w:pPr>
      <w:r>
        <w:rPr>
          <w:rFonts w:hint="default"/>
          <w:lang w:val="en-US"/>
        </w:rPr>
        <w:t>Table 1: Demographic characteristics………………………………………………….44</w:t>
      </w:r>
    </w:p>
    <w:p w14:paraId="1EB9E51B">
      <w:pPr>
        <w:spacing w:after="0" w:line="480" w:lineRule="auto"/>
        <w:rPr>
          <w:rFonts w:hint="default"/>
          <w:lang w:val="en-US"/>
        </w:rPr>
      </w:pPr>
      <w:r>
        <w:rPr>
          <w:rFonts w:hint="default"/>
          <w:lang w:val="en-US"/>
        </w:rPr>
        <w:t>Table 2: Reliability test of corporate governance……………………………….…….. 47</w:t>
      </w:r>
    </w:p>
    <w:p w14:paraId="1488F22B">
      <w:pPr>
        <w:spacing w:after="0" w:line="480" w:lineRule="auto"/>
        <w:rPr>
          <w:rFonts w:hint="default"/>
          <w:lang w:val="en-US"/>
        </w:rPr>
      </w:pPr>
      <w:r>
        <w:rPr>
          <w:rFonts w:hint="default"/>
          <w:lang w:val="en-US"/>
        </w:rPr>
        <w:t>Table 3: Reliability test of risk management…..……………………………….………49</w:t>
      </w:r>
    </w:p>
    <w:p w14:paraId="24E769C6">
      <w:pPr>
        <w:spacing w:after="0" w:line="480" w:lineRule="auto"/>
        <w:rPr>
          <w:rFonts w:hint="default"/>
          <w:lang w:val="en-US"/>
        </w:rPr>
      </w:pPr>
      <w:r>
        <w:rPr>
          <w:rFonts w:hint="default"/>
          <w:lang w:val="en-US"/>
        </w:rPr>
        <w:t>Table 4: Reliability test of fraud prevention…………………………………..….…….50</w:t>
      </w:r>
    </w:p>
    <w:p w14:paraId="15B38C29">
      <w:pPr>
        <w:spacing w:after="0" w:line="480" w:lineRule="auto"/>
        <w:rPr>
          <w:rFonts w:hint="default"/>
          <w:lang w:val="en-US"/>
        </w:rPr>
      </w:pPr>
      <w:r>
        <w:rPr>
          <w:rFonts w:hint="default"/>
          <w:lang w:val="en-US"/>
        </w:rPr>
        <w:t>Table 5: Reliability test of organisational effectiveness…………………..……………52</w:t>
      </w:r>
    </w:p>
    <w:p w14:paraId="616161A8">
      <w:pPr>
        <w:spacing w:after="0" w:line="480" w:lineRule="auto"/>
        <w:rPr>
          <w:rFonts w:hint="default"/>
          <w:lang w:val="en-US"/>
        </w:rPr>
      </w:pPr>
      <w:r>
        <w:rPr>
          <w:rFonts w:hint="default"/>
          <w:lang w:val="en-US"/>
        </w:rPr>
        <w:t xml:space="preserve">Table 6: Descriptive statistics of corporate governance………………..………………53 </w:t>
      </w:r>
    </w:p>
    <w:p w14:paraId="0EF5B63D">
      <w:pPr>
        <w:spacing w:after="0" w:line="480" w:lineRule="auto"/>
        <w:rPr>
          <w:rFonts w:hint="default"/>
          <w:lang w:val="en-US"/>
        </w:rPr>
      </w:pPr>
      <w:r>
        <w:rPr>
          <w:rFonts w:hint="default"/>
          <w:lang w:val="en-US"/>
        </w:rPr>
        <w:t>Table 7: Descriptive statistics of risk management…………………………………….54</w:t>
      </w:r>
    </w:p>
    <w:p w14:paraId="4B99E60B">
      <w:pPr>
        <w:spacing w:after="0" w:line="480" w:lineRule="auto"/>
        <w:rPr>
          <w:rFonts w:hint="default"/>
          <w:lang w:val="en-US"/>
        </w:rPr>
      </w:pPr>
      <w:r>
        <w:rPr>
          <w:rFonts w:hint="default"/>
          <w:lang w:val="en-US"/>
        </w:rPr>
        <w:t>Table 8: Descriptive statistics of fraud prevention……………………………………..55</w:t>
      </w:r>
    </w:p>
    <w:p w14:paraId="4DA6CD1E">
      <w:pPr>
        <w:spacing w:after="0" w:line="480" w:lineRule="auto"/>
        <w:rPr>
          <w:rFonts w:hint="default"/>
          <w:lang w:val="en-US"/>
        </w:rPr>
      </w:pPr>
      <w:r>
        <w:rPr>
          <w:rFonts w:hint="default"/>
          <w:lang w:val="en-US"/>
        </w:rPr>
        <w:t>Table 9: Descriptive statistics of organisational effectiveness…………………………56</w:t>
      </w:r>
    </w:p>
    <w:p w14:paraId="13DD3489">
      <w:pPr>
        <w:spacing w:after="0" w:line="480" w:lineRule="auto"/>
        <w:rPr>
          <w:rFonts w:hint="default"/>
          <w:lang w:val="en-US"/>
        </w:rPr>
      </w:pPr>
      <w:r>
        <w:rPr>
          <w:rFonts w:hint="default"/>
          <w:lang w:val="en-US"/>
        </w:rPr>
        <w:t>Table 10: Pearson correlation of corporate governance, risk management, fraud prevention and organisational effectiveness……………………………………………57</w:t>
      </w:r>
    </w:p>
    <w:p w14:paraId="3C12D58C">
      <w:pPr>
        <w:spacing w:after="0" w:line="480" w:lineRule="auto"/>
        <w:rPr>
          <w:rFonts w:hint="default"/>
          <w:lang w:val="en-US"/>
        </w:rPr>
      </w:pPr>
      <w:r>
        <w:rPr>
          <w:rFonts w:hint="default"/>
          <w:lang w:val="en-US"/>
        </w:rPr>
        <w:t>Table 11: Regression analysis of corporate governance, risk management, fraud prevention and organisational effectiveness……………………………………………59</w:t>
      </w:r>
    </w:p>
    <w:p w14:paraId="36833223">
      <w:pPr>
        <w:spacing w:after="0" w:line="480" w:lineRule="auto"/>
        <w:rPr>
          <w:rFonts w:hint="default"/>
          <w:lang w:val="en-US"/>
        </w:rPr>
      </w:pPr>
      <w:r>
        <w:rPr>
          <w:rFonts w:hint="default"/>
          <w:lang w:val="en-US"/>
        </w:rPr>
        <w:t xml:space="preserve">Table 12:Mediation analysis of corporate governance, risk management, fraud prevention and organisational effectiveness…………………………………………....61 </w:t>
      </w:r>
    </w:p>
    <w:p w14:paraId="64996933">
      <w:pPr>
        <w:spacing w:after="0" w:line="480" w:lineRule="auto"/>
      </w:pPr>
    </w:p>
    <w:p w14:paraId="224D42C9">
      <w:pPr>
        <w:spacing w:after="0" w:line="480" w:lineRule="auto"/>
      </w:pPr>
    </w:p>
    <w:p w14:paraId="79705C4A">
      <w:pPr>
        <w:spacing w:after="0" w:line="480" w:lineRule="auto"/>
        <w:sectPr>
          <w:footerReference r:id="rId5" w:type="default"/>
          <w:pgSz w:w="12240" w:h="15840"/>
          <w:pgMar w:top="1440" w:right="1440" w:bottom="1440" w:left="2268" w:header="709" w:footer="709" w:gutter="0"/>
          <w:pgNumType w:fmt="lowerRoman" w:start="1"/>
          <w:cols w:space="708" w:num="1"/>
          <w:docGrid w:linePitch="360" w:charSpace="0"/>
        </w:sectPr>
      </w:pPr>
    </w:p>
    <w:p w14:paraId="08252719">
      <w:pPr>
        <w:spacing w:after="0" w:line="480" w:lineRule="auto"/>
        <w:rPr>
          <w:rFonts w:hint="default"/>
          <w:lang w:val="en-US"/>
        </w:rPr>
      </w:pPr>
    </w:p>
    <w:p w14:paraId="68E5CDC9">
      <w:pPr>
        <w:widowControl/>
        <w:suppressAutoHyphens/>
        <w:bidi w:val="0"/>
        <w:spacing w:before="0" w:after="24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r>
        <w:rPr>
          <w:rFonts w:ascii="Times New Roman" w:hAnsi="Times New Roman" w:eastAsia="Times New Roman" w:cs="Times New Roman"/>
          <w:b/>
          <w:bCs/>
          <w:i w:val="0"/>
          <w:color w:val="000000"/>
          <w:kern w:val="0"/>
          <w:sz w:val="24"/>
          <w:szCs w:val="28"/>
          <w:lang w:val="en-US" w:eastAsia="en-US" w:bidi="ar-SA"/>
          <w14:ligatures w14:val="none"/>
        </w:rPr>
        <w:t>CHAPTER ONE</w:t>
      </w:r>
    </w:p>
    <w:p w14:paraId="1BC8C16C">
      <w:pPr>
        <w:widowControl/>
        <w:suppressAutoHyphens/>
        <w:bidi w:val="0"/>
        <w:spacing w:before="280" w:after="24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bookmarkStart w:id="1" w:name="__RefHeading___Toc3576_3370473891"/>
      <w:bookmarkEnd w:id="1"/>
      <w:r>
        <w:rPr>
          <w:rFonts w:ascii="Times New Roman" w:hAnsi="Times New Roman" w:eastAsia="Times New Roman" w:cs="Times New Roman"/>
          <w:b/>
          <w:bCs/>
          <w:i w:val="0"/>
          <w:color w:val="000000"/>
          <w:kern w:val="0"/>
          <w:sz w:val="24"/>
          <w:szCs w:val="28"/>
          <w:lang w:val="en-US" w:eastAsia="en-US" w:bidi="ar-SA"/>
          <w14:ligatures w14:val="none"/>
        </w:rPr>
        <w:t>INTRODUCTION</w:t>
      </w:r>
    </w:p>
    <w:p w14:paraId="2C29D687">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2" w:name="__RefHeading___Toc3578_3370473891"/>
      <w:bookmarkEnd w:id="2"/>
      <w:r>
        <w:rPr>
          <w:rFonts w:ascii="Times New Roman" w:hAnsi="Times New Roman" w:eastAsia="Times New Roman" w:cs="Times New Roman"/>
          <w:b/>
          <w:bCs/>
          <w:i w:val="0"/>
          <w:color w:val="000000"/>
          <w:kern w:val="0"/>
          <w:sz w:val="24"/>
          <w:szCs w:val="28"/>
          <w:lang w:val="en-US" w:eastAsia="en-US" w:bidi="ar-SA"/>
          <w14:ligatures w14:val="none"/>
        </w:rPr>
        <w:t>Background of the study</w:t>
      </w:r>
    </w:p>
    <w:p w14:paraId="1254781C">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b w:val="0"/>
          <w:i w:val="0"/>
          <w:color w:val="auto"/>
          <w:kern w:val="0"/>
          <w:sz w:val="24"/>
          <w:lang w:val="en-US"/>
          <w14:ligatures w14:val="none"/>
        </w:rPr>
        <w:t xml:space="preserve">Corporate governance and risk management have become essential in organisational development and sustainability in both developing and developed economies </w:t>
      </w:r>
      <w:r>
        <w:rPr>
          <w:rFonts w:ascii="Times New Roman" w:hAnsi="Times New Roman" w:eastAsia="Times New Roman" w:cs="Times New Roman"/>
          <w:b w:val="0"/>
          <w:i w:val="0"/>
          <w:color w:val="auto"/>
          <w:kern w:val="0"/>
          <w:sz w:val="24"/>
          <w:lang w:val="en-US"/>
          <w14:ligatures w14:val="none"/>
        </w:rPr>
        <w:t>(Jensen &amp; Meckling, 1976; Torku &amp; Laryea, 2021).</w:t>
      </w:r>
      <w:r>
        <w:rPr>
          <w:rFonts w:hint="default" w:ascii="Times New Roman" w:hAnsi="Times New Roman" w:eastAsia="Times New Roman" w:cs="Times New Roman"/>
          <w:b w:val="0"/>
          <w:i w:val="0"/>
          <w:color w:val="auto"/>
          <w:kern w:val="0"/>
          <w:sz w:val="24"/>
          <w:lang w:val="en-US"/>
          <w14:ligatures w14:val="none"/>
        </w:rPr>
        <w:t xml:space="preserve"> Corporate governance refers to systems, structures and processes through which organisations are managed to ensure transparency, accountability and the protection of interest of stakeholders </w:t>
      </w:r>
      <w:r>
        <w:rPr>
          <w:rFonts w:ascii="Times New Roman" w:hAnsi="Times New Roman" w:eastAsia="Times New Roman" w:cs="Times New Roman"/>
          <w:b w:val="0"/>
          <w:i w:val="0"/>
          <w:color w:val="auto"/>
          <w:kern w:val="0"/>
          <w:sz w:val="24"/>
          <w:lang w:val="en-US"/>
          <w14:ligatures w14:val="none"/>
        </w:rPr>
        <w:t>(Zakaria, 2019)</w:t>
      </w:r>
      <w:r>
        <w:rPr>
          <w:rFonts w:hint="default" w:ascii="Times New Roman" w:hAnsi="Times New Roman" w:eastAsia="Times New Roman" w:cs="Times New Roman"/>
          <w:b w:val="0"/>
          <w:i w:val="0"/>
          <w:color w:val="auto"/>
          <w:kern w:val="0"/>
          <w:sz w:val="24"/>
          <w:lang w:val="en-US"/>
          <w14:ligatures w14:val="none"/>
        </w:rPr>
        <w:t xml:space="preserve">. The relevance of corporate governance in organisational effectiveness has been established by many scholars and the extent to which an organisation achieve its strategic, operational and compliance goals while maintaining stakeholder confidence </w:t>
      </w:r>
      <w:r>
        <w:rPr>
          <w:rFonts w:ascii="Times New Roman" w:hAnsi="Times New Roman" w:eastAsia="Times New Roman" w:cs="Times New Roman"/>
          <w:b w:val="0"/>
          <w:i w:val="0"/>
          <w:color w:val="auto"/>
          <w:kern w:val="0"/>
          <w:sz w:val="24"/>
          <w:lang w:val="en-US"/>
          <w14:ligatures w14:val="none"/>
        </w:rPr>
        <w:t>(Atugeba &amp; Acquah-Sam, 2024; Saeed, Mensah &amp; Takyi, 2025). Risk management</w:t>
      </w:r>
      <w:r>
        <w:rPr>
          <w:rFonts w:hint="default" w:ascii="Times New Roman" w:hAnsi="Times New Roman" w:eastAsia="Times New Roman" w:cs="Times New Roman"/>
          <w:b w:val="0"/>
          <w:i w:val="0"/>
          <w:color w:val="auto"/>
          <w:kern w:val="0"/>
          <w:sz w:val="24"/>
          <w:lang w:val="en-US"/>
          <w14:ligatures w14:val="none"/>
        </w:rPr>
        <w:t>, specifically enterprise risk management has to do with</w:t>
      </w:r>
      <w:r>
        <w:rPr>
          <w:rFonts w:ascii="Times New Roman" w:hAnsi="Times New Roman" w:eastAsia="Times New Roman" w:cs="Times New Roman"/>
          <w:b w:val="0"/>
          <w:i w:val="0"/>
          <w:color w:val="auto"/>
          <w:kern w:val="0"/>
          <w:sz w:val="24"/>
          <w:lang w:val="en-US"/>
          <w14:ligatures w14:val="none"/>
        </w:rPr>
        <w:t xml:space="preserve"> the identification, assessment, monitoring and mitigation of risks that may</w:t>
      </w:r>
      <w:r>
        <w:rPr>
          <w:rFonts w:hint="default" w:ascii="Times New Roman" w:hAnsi="Times New Roman" w:eastAsia="Times New Roman" w:cs="Times New Roman"/>
          <w:b w:val="0"/>
          <w:i w:val="0"/>
          <w:color w:val="auto"/>
          <w:kern w:val="0"/>
          <w:sz w:val="24"/>
          <w:lang w:val="en-US"/>
          <w14:ligatures w14:val="none"/>
        </w:rPr>
        <w:t xml:space="preserve"> interfere with an organisation’s capability to achieve its </w:t>
      </w:r>
      <w:r>
        <w:rPr>
          <w:rFonts w:ascii="Times New Roman" w:hAnsi="Times New Roman" w:eastAsia="Times New Roman" w:cs="Times New Roman"/>
          <w:b w:val="0"/>
          <w:i w:val="0"/>
          <w:color w:val="auto"/>
          <w:kern w:val="0"/>
          <w:sz w:val="24"/>
          <w:lang w:val="en-US"/>
          <w14:ligatures w14:val="none"/>
        </w:rPr>
        <w:t>objectives, and empirical studies across countries and industries have found a significant association between enterprise risk management and organisational sustainability and performance (Sobel &amp; Reding, 2004; Busco, Riccaboni &amp; Scapens, 2005).</w:t>
      </w:r>
    </w:p>
    <w:p w14:paraId="0042C97F">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b w:val="0"/>
          <w:i w:val="0"/>
          <w:color w:val="auto"/>
          <w:kern w:val="0"/>
          <w:sz w:val="24"/>
          <w:lang w:val="en-US"/>
          <w14:ligatures w14:val="none"/>
        </w:rPr>
        <w:t>Corporate governance reforms in Ghana intensified following the promulgation of companies Act, 2019 (Act 992), the S</w:t>
      </w:r>
      <w:r>
        <w:rPr>
          <w:rFonts w:ascii="Times New Roman" w:hAnsi="Times New Roman" w:eastAsia="Times New Roman" w:cs="Times New Roman"/>
          <w:b w:val="0"/>
          <w:i w:val="0"/>
          <w:color w:val="auto"/>
          <w:kern w:val="0"/>
          <w:sz w:val="24"/>
          <w:lang w:val="en-US"/>
          <w14:ligatures w14:val="none"/>
        </w:rPr>
        <w:t>ecurities Industry Act, 2016 (Act 929) and sector</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specific governance codes such as the Bank of Ghana Corporate Governance Directive (2018)</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 xml:space="preserve"> These reforms</w:t>
      </w:r>
      <w:r>
        <w:rPr>
          <w:rFonts w:hint="default" w:ascii="Times New Roman" w:hAnsi="Times New Roman" w:eastAsia="Times New Roman" w:cs="Times New Roman"/>
          <w:b w:val="0"/>
          <w:i w:val="0"/>
          <w:color w:val="auto"/>
          <w:kern w:val="0"/>
          <w:sz w:val="24"/>
          <w:lang w:val="en-US"/>
          <w14:ligatures w14:val="none"/>
        </w:rPr>
        <w:t xml:space="preserve"> resulted from </w:t>
      </w:r>
      <w:r>
        <w:rPr>
          <w:rFonts w:ascii="Times New Roman" w:hAnsi="Times New Roman" w:eastAsia="Times New Roman" w:cs="Times New Roman"/>
          <w:b w:val="0"/>
          <w:i w:val="0"/>
          <w:color w:val="auto"/>
          <w:kern w:val="0"/>
          <w:sz w:val="24"/>
          <w:lang w:val="en-US"/>
          <w14:ligatures w14:val="none"/>
        </w:rPr>
        <w:t xml:space="preserve">the 2018 banking sector crisis, which exposed </w:t>
      </w:r>
      <w:r>
        <w:rPr>
          <w:rFonts w:hint="default" w:ascii="Times New Roman" w:hAnsi="Times New Roman" w:eastAsia="Times New Roman" w:cs="Times New Roman"/>
          <w:b w:val="0"/>
          <w:i w:val="0"/>
          <w:color w:val="auto"/>
          <w:kern w:val="0"/>
          <w:sz w:val="24"/>
          <w:lang w:val="en-US"/>
          <w14:ligatures w14:val="none"/>
        </w:rPr>
        <w:t>major</w:t>
      </w:r>
      <w:r>
        <w:rPr>
          <w:rFonts w:ascii="Times New Roman" w:hAnsi="Times New Roman" w:eastAsia="Times New Roman" w:cs="Times New Roman"/>
          <w:b w:val="0"/>
          <w:i w:val="0"/>
          <w:color w:val="auto"/>
          <w:kern w:val="0"/>
          <w:sz w:val="24"/>
          <w:lang w:val="en-US"/>
          <w14:ligatures w14:val="none"/>
        </w:rPr>
        <w:t xml:space="preserve"> governance lapses, including </w:t>
      </w:r>
      <w:r>
        <w:rPr>
          <w:rFonts w:hint="default" w:ascii="Times New Roman" w:hAnsi="Times New Roman" w:eastAsia="Times New Roman" w:cs="Times New Roman"/>
          <w:b w:val="0"/>
          <w:i w:val="0"/>
          <w:color w:val="auto"/>
          <w:kern w:val="0"/>
          <w:sz w:val="24"/>
          <w:lang w:val="en-US"/>
          <w14:ligatures w14:val="none"/>
        </w:rPr>
        <w:t>insider trading and</w:t>
      </w:r>
      <w:r>
        <w:rPr>
          <w:rFonts w:ascii="Times New Roman" w:hAnsi="Times New Roman" w:eastAsia="Times New Roman" w:cs="Times New Roman"/>
          <w:b w:val="0"/>
          <w:i w:val="0"/>
          <w:color w:val="auto"/>
          <w:kern w:val="0"/>
          <w:sz w:val="24"/>
          <w:lang w:val="en-US"/>
          <w14:ligatures w14:val="none"/>
        </w:rPr>
        <w:t xml:space="preserve"> lending,</w:t>
      </w:r>
      <w:r>
        <w:rPr>
          <w:rFonts w:hint="default" w:ascii="Times New Roman" w:hAnsi="Times New Roman" w:eastAsia="Times New Roman" w:cs="Times New Roman"/>
          <w:b w:val="0"/>
          <w:i w:val="0"/>
          <w:color w:val="auto"/>
          <w:kern w:val="0"/>
          <w:sz w:val="24"/>
          <w:lang w:val="en-US"/>
          <w14:ligatures w14:val="none"/>
        </w:rPr>
        <w:t xml:space="preserve"> approval of loans</w:t>
      </w:r>
      <w:r>
        <w:rPr>
          <w:rFonts w:ascii="Times New Roman" w:hAnsi="Times New Roman" w:eastAsia="Times New Roman" w:cs="Times New Roman"/>
          <w:b w:val="0"/>
          <w:i w:val="0"/>
          <w:color w:val="auto"/>
          <w:kern w:val="0"/>
          <w:sz w:val="24"/>
          <w:lang w:val="en-US"/>
          <w14:ligatures w14:val="none"/>
        </w:rPr>
        <w:t xml:space="preserve"> without due process and breaches of the single obligatory limit</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which contributed to th</w:t>
      </w:r>
      <w:r>
        <w:rPr>
          <w:rFonts w:hint="default" w:ascii="Times New Roman" w:hAnsi="Times New Roman" w:eastAsia="Times New Roman" w:cs="Times New Roman"/>
          <w:b w:val="0"/>
          <w:i w:val="0"/>
          <w:color w:val="auto"/>
          <w:kern w:val="0"/>
          <w:sz w:val="24"/>
          <w:lang w:val="en-US"/>
          <w14:ligatures w14:val="none"/>
        </w:rPr>
        <w:t>e</w:t>
      </w:r>
      <w:r>
        <w:rPr>
          <w:rFonts w:ascii="Times New Roman" w:hAnsi="Times New Roman" w:eastAsia="Times New Roman" w:cs="Times New Roman"/>
          <w:b w:val="0"/>
          <w:i w:val="0"/>
          <w:color w:val="auto"/>
          <w:kern w:val="0"/>
          <w:sz w:val="24"/>
          <w:lang w:val="en-US"/>
          <w14:ligatures w14:val="none"/>
        </w:rPr>
        <w:t xml:space="preserve"> collapse of seven commercial banks and more than 200 non</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 xml:space="preserve">bank financial institutions (Torku &amp; Laryea, 2021; Avortri &amp; Agbanyo, 2020; Musah, Issah &amp; Ghartey, 2022). </w:t>
      </w:r>
      <w:r>
        <w:rPr>
          <w:rFonts w:hint="default" w:ascii="Times New Roman" w:hAnsi="Times New Roman" w:eastAsia="Times New Roman" w:cs="Times New Roman"/>
          <w:b w:val="0"/>
          <w:i w:val="0"/>
          <w:color w:val="auto"/>
          <w:kern w:val="0"/>
          <w:sz w:val="24"/>
          <w:lang w:val="en-US"/>
          <w14:ligatures w14:val="none"/>
        </w:rPr>
        <w:t>Aside the</w:t>
      </w:r>
      <w:r>
        <w:rPr>
          <w:rFonts w:ascii="Times New Roman" w:hAnsi="Times New Roman" w:eastAsia="Times New Roman" w:cs="Times New Roman"/>
          <w:b w:val="0"/>
          <w:i w:val="0"/>
          <w:color w:val="auto"/>
          <w:kern w:val="0"/>
          <w:sz w:val="24"/>
          <w:lang w:val="en-US"/>
          <w14:ligatures w14:val="none"/>
        </w:rPr>
        <w:t xml:space="preserve"> banking</w:t>
      </w:r>
      <w:r>
        <w:rPr>
          <w:rFonts w:hint="default" w:ascii="Times New Roman" w:hAnsi="Times New Roman" w:eastAsia="Times New Roman" w:cs="Times New Roman"/>
          <w:b w:val="0"/>
          <w:i w:val="0"/>
          <w:color w:val="auto"/>
          <w:kern w:val="0"/>
          <w:sz w:val="24"/>
          <w:lang w:val="en-US"/>
          <w14:ligatures w14:val="none"/>
        </w:rPr>
        <w:t xml:space="preserve"> sector</w:t>
      </w:r>
      <w:r>
        <w:rPr>
          <w:rFonts w:ascii="Times New Roman" w:hAnsi="Times New Roman" w:eastAsia="Times New Roman" w:cs="Times New Roman"/>
          <w:b w:val="0"/>
          <w:i w:val="0"/>
          <w:color w:val="auto"/>
          <w:kern w:val="0"/>
          <w:sz w:val="24"/>
          <w:lang w:val="en-US"/>
          <w14:ligatures w14:val="none"/>
        </w:rPr>
        <w:t xml:space="preserve">, </w:t>
      </w:r>
      <w:r>
        <w:rPr>
          <w:rFonts w:hint="default" w:ascii="Times New Roman" w:hAnsi="Times New Roman" w:eastAsia="Times New Roman" w:cs="Times New Roman"/>
          <w:b w:val="0"/>
          <w:i w:val="0"/>
          <w:color w:val="auto"/>
          <w:kern w:val="0"/>
          <w:sz w:val="24"/>
          <w:lang w:val="en-US"/>
          <w14:ligatures w14:val="none"/>
        </w:rPr>
        <w:t xml:space="preserve">weak </w:t>
      </w:r>
      <w:r>
        <w:rPr>
          <w:rFonts w:ascii="Times New Roman" w:hAnsi="Times New Roman" w:eastAsia="Times New Roman" w:cs="Times New Roman"/>
          <w:b w:val="0"/>
          <w:i w:val="0"/>
          <w:color w:val="auto"/>
          <w:kern w:val="0"/>
          <w:sz w:val="24"/>
          <w:lang w:val="en-US"/>
          <w14:ligatures w14:val="none"/>
        </w:rPr>
        <w:t>governance and fraud</w:t>
      </w:r>
      <w:r>
        <w:rPr>
          <w:rFonts w:hint="default" w:ascii="Times New Roman" w:hAnsi="Times New Roman" w:eastAsia="Times New Roman" w:cs="Times New Roman"/>
          <w:b w:val="0"/>
          <w:i w:val="0"/>
          <w:color w:val="auto"/>
          <w:kern w:val="0"/>
          <w:sz w:val="24"/>
          <w:lang w:val="en-US"/>
          <w14:ligatures w14:val="none"/>
        </w:rPr>
        <w:t>ulent activities</w:t>
      </w:r>
      <w:r>
        <w:rPr>
          <w:rFonts w:ascii="Times New Roman" w:hAnsi="Times New Roman" w:eastAsia="Times New Roman" w:cs="Times New Roman"/>
          <w:b w:val="0"/>
          <w:i w:val="0"/>
          <w:color w:val="auto"/>
          <w:kern w:val="0"/>
          <w:sz w:val="24"/>
          <w:lang w:val="en-US"/>
          <w14:ligatures w14:val="none"/>
        </w:rPr>
        <w:t xml:space="preserve"> have also been documented in other sectors of the Ghanaian economy</w:t>
      </w:r>
      <w:r>
        <w:rPr>
          <w:rFonts w:hint="default" w:ascii="Times New Roman" w:hAnsi="Times New Roman" w:eastAsia="Times New Roman" w:cs="Times New Roman"/>
          <w:b w:val="0"/>
          <w:i w:val="0"/>
          <w:color w:val="auto"/>
          <w:kern w:val="0"/>
          <w:sz w:val="24"/>
          <w:lang w:val="en-US"/>
          <w14:ligatures w14:val="none"/>
        </w:rPr>
        <w:t>,which included</w:t>
      </w:r>
      <w:r>
        <w:rPr>
          <w:rFonts w:ascii="Times New Roman" w:hAnsi="Times New Roman" w:eastAsia="Times New Roman" w:cs="Times New Roman"/>
          <w:b w:val="0"/>
          <w:i w:val="0"/>
          <w:color w:val="auto"/>
          <w:kern w:val="0"/>
          <w:sz w:val="24"/>
          <w:lang w:val="en-US"/>
          <w14:ligatures w14:val="none"/>
        </w:rPr>
        <w:t xml:space="preserve"> the energy sector's Power Distribution Services concession</w:t>
      </w:r>
      <w:r>
        <w:rPr>
          <w:rFonts w:hint="default" w:ascii="Times New Roman" w:hAnsi="Times New Roman" w:eastAsia="Times New Roman" w:cs="Times New Roman"/>
          <w:b w:val="0"/>
          <w:i w:val="0"/>
          <w:color w:val="auto"/>
          <w:kern w:val="0"/>
          <w:sz w:val="24"/>
          <w:lang w:val="en-US"/>
          <w14:ligatures w14:val="none"/>
        </w:rPr>
        <w:t xml:space="preserve"> which</w:t>
      </w:r>
      <w:r>
        <w:rPr>
          <w:rFonts w:ascii="Times New Roman" w:hAnsi="Times New Roman" w:eastAsia="Times New Roman" w:cs="Times New Roman"/>
          <w:b w:val="0"/>
          <w:i w:val="0"/>
          <w:color w:val="auto"/>
          <w:kern w:val="0"/>
          <w:sz w:val="24"/>
          <w:lang w:val="en-US"/>
          <w14:ligatures w14:val="none"/>
        </w:rPr>
        <w:t xml:space="preserve"> was suspended in 2019 after</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 xml:space="preserve">demand </w:t>
      </w:r>
      <w:r>
        <w:rPr>
          <w:rFonts w:hint="default" w:ascii="Times New Roman" w:hAnsi="Times New Roman" w:eastAsia="Times New Roman" w:cs="Times New Roman"/>
          <w:b w:val="0"/>
          <w:i w:val="0"/>
          <w:color w:val="auto"/>
          <w:kern w:val="0"/>
          <w:sz w:val="24"/>
          <w:lang w:val="en-US"/>
          <w14:ligatures w14:val="none"/>
        </w:rPr>
        <w:t>for</w:t>
      </w:r>
      <w:r>
        <w:rPr>
          <w:rFonts w:ascii="Times New Roman" w:hAnsi="Times New Roman" w:eastAsia="Times New Roman" w:cs="Times New Roman"/>
          <w:b w:val="0"/>
          <w:i w:val="0"/>
          <w:color w:val="auto"/>
          <w:kern w:val="0"/>
          <w:sz w:val="24"/>
          <w:lang w:val="en-US"/>
          <w14:ligatures w14:val="none"/>
        </w:rPr>
        <w:t xml:space="preserve"> the deal was found to have been fraudulently executed, while public procurement processes have repeatedly been shown to be exposed to bid manipulation, conflict of interest and tender</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document alteration (</w:t>
      </w:r>
      <w:r>
        <w:rPr>
          <w:rFonts w:hint="default" w:ascii="Times New Roman" w:hAnsi="Times New Roman" w:eastAsia="Times New Roman" w:cs="Times New Roman"/>
          <w:b w:val="0"/>
          <w:i w:val="0"/>
          <w:color w:val="auto"/>
          <w:kern w:val="0"/>
          <w:sz w:val="24"/>
          <w:lang w:val="en-US"/>
          <w14:ligatures w14:val="none"/>
        </w:rPr>
        <w:t>Adamu, 2026</w:t>
      </w:r>
      <w:r>
        <w:rPr>
          <w:rFonts w:ascii="Times New Roman" w:hAnsi="Times New Roman" w:eastAsia="Times New Roman" w:cs="Times New Roman"/>
          <w:b w:val="0"/>
          <w:i w:val="0"/>
          <w:color w:val="auto"/>
          <w:kern w:val="0"/>
          <w:sz w:val="24"/>
          <w:lang w:val="en-US"/>
          <w14:ligatures w14:val="none"/>
        </w:rPr>
        <w:t>).</w:t>
      </w:r>
    </w:p>
    <w:p w14:paraId="4276AF66">
      <w:pPr>
        <w:widowControl/>
        <w:suppressAutoHyphens/>
        <w:bidi w:val="0"/>
        <w:spacing w:before="120" w:after="240" w:line="480" w:lineRule="auto"/>
        <w:ind w:firstLine="720"/>
        <w:jc w:val="both"/>
        <w:rPr>
          <w:rFonts w:hint="default" w:ascii="Times New Roman" w:hAnsi="Times New Roman" w:eastAsia="Times New Roman" w:cs="Times New Roman"/>
          <w:b w:val="0"/>
          <w:i w:val="0"/>
          <w:color w:val="auto"/>
          <w:kern w:val="0"/>
          <w:sz w:val="24"/>
          <w:lang w:val="en-US"/>
          <w14:ligatures w14:val="none"/>
        </w:rPr>
      </w:pPr>
      <w:r>
        <w:rPr>
          <w:rFonts w:ascii="Times New Roman" w:hAnsi="Times New Roman" w:eastAsia="Times New Roman" w:cs="Times New Roman"/>
          <w:b w:val="0"/>
          <w:i w:val="0"/>
          <w:color w:val="auto"/>
          <w:kern w:val="0"/>
          <w:sz w:val="24"/>
          <w:lang w:val="en-US"/>
          <w14:ligatures w14:val="none"/>
        </w:rPr>
        <w:t>From a theoretical perspective, Agency Theory explains corporate governance as a mechanism for reducing conflicts of interest between managers (agents) and shareholders (principals), who each seek to maximise</w:t>
      </w:r>
      <w:r>
        <w:rPr>
          <w:rFonts w:hint="default" w:ascii="Times New Roman" w:hAnsi="Times New Roman" w:eastAsia="Times New Roman" w:cs="Times New Roman"/>
          <w:b w:val="0"/>
          <w:i w:val="0"/>
          <w:color w:val="auto"/>
          <w:kern w:val="0"/>
          <w:sz w:val="24"/>
          <w:lang w:val="en-US"/>
          <w14:ligatures w14:val="none"/>
        </w:rPr>
        <w:t xml:space="preserve"> profit</w:t>
      </w:r>
      <w:r>
        <w:rPr>
          <w:rFonts w:ascii="Times New Roman" w:hAnsi="Times New Roman" w:eastAsia="Times New Roman" w:cs="Times New Roman"/>
          <w:b w:val="0"/>
          <w:i w:val="0"/>
          <w:color w:val="auto"/>
          <w:kern w:val="0"/>
          <w:sz w:val="24"/>
          <w:lang w:val="en-US"/>
          <w14:ligatures w14:val="none"/>
        </w:rPr>
        <w:t xml:space="preserve"> under conditions of information asymmetry (</w:t>
      </w:r>
      <w:r>
        <w:rPr>
          <w:rFonts w:hint="default" w:ascii="Times New Roman" w:hAnsi="Times New Roman" w:eastAsia="Times New Roman" w:cs="Times New Roman"/>
          <w:b w:val="0"/>
          <w:i w:val="0"/>
          <w:color w:val="auto"/>
          <w:kern w:val="0"/>
          <w:sz w:val="24"/>
          <w:lang w:val="en-US"/>
          <w14:ligatures w14:val="none"/>
        </w:rPr>
        <w:t>Aluchna</w:t>
      </w:r>
      <w:r>
        <w:rPr>
          <w:rFonts w:ascii="Times New Roman" w:hAnsi="Times New Roman" w:eastAsia="Times New Roman" w:cs="Times New Roman"/>
          <w:b w:val="0"/>
          <w:i w:val="0"/>
          <w:color w:val="auto"/>
          <w:kern w:val="0"/>
          <w:sz w:val="24"/>
          <w:lang w:val="en-US"/>
          <w14:ligatures w14:val="none"/>
        </w:rPr>
        <w:t>,</w:t>
      </w:r>
      <w:r>
        <w:rPr>
          <w:rFonts w:hint="default" w:ascii="Times New Roman" w:hAnsi="Times New Roman" w:eastAsia="Times New Roman" w:cs="Times New Roman"/>
          <w:b w:val="0"/>
          <w:i w:val="0"/>
          <w:color w:val="auto"/>
          <w:kern w:val="0"/>
          <w:sz w:val="24"/>
          <w:lang w:val="en-US"/>
          <w14:ligatures w14:val="none"/>
        </w:rPr>
        <w:t xml:space="preserve"> 2022 </w:t>
      </w:r>
      <w:r>
        <w:rPr>
          <w:rFonts w:ascii="Times New Roman" w:hAnsi="Times New Roman" w:eastAsia="Times New Roman" w:cs="Times New Roman"/>
          <w:b w:val="0"/>
          <w:i w:val="0"/>
          <w:color w:val="auto"/>
          <w:kern w:val="0"/>
          <w:sz w:val="24"/>
          <w:lang w:val="en-US"/>
          <w14:ligatures w14:val="none"/>
        </w:rPr>
        <w:t>). Institutional Theory suggests that organisations</w:t>
      </w:r>
      <w:r>
        <w:rPr>
          <w:rFonts w:hint="default" w:ascii="Times New Roman" w:hAnsi="Times New Roman" w:eastAsia="Times New Roman" w:cs="Times New Roman"/>
          <w:b w:val="0"/>
          <w:i w:val="0"/>
          <w:color w:val="auto"/>
          <w:kern w:val="0"/>
          <w:sz w:val="24"/>
          <w:lang w:val="en-US"/>
          <w14:ligatures w14:val="none"/>
        </w:rPr>
        <w:t xml:space="preserve"> use</w:t>
      </w:r>
      <w:r>
        <w:rPr>
          <w:rFonts w:ascii="Times New Roman" w:hAnsi="Times New Roman" w:eastAsia="Times New Roman" w:cs="Times New Roman"/>
          <w:b w:val="0"/>
          <w:i w:val="0"/>
          <w:color w:val="auto"/>
          <w:kern w:val="0"/>
          <w:sz w:val="24"/>
          <w:lang w:val="en-US"/>
          <w14:ligatures w14:val="none"/>
        </w:rPr>
        <w:t xml:space="preserve"> governance and risk</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management structures partly to conform to coercive</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and normative pressures from their regulatory and institutional environment, rather than purely for efficiency reasons (</w:t>
      </w:r>
      <w:r>
        <w:rPr>
          <w:rFonts w:hint="default" w:ascii="Times New Roman" w:hAnsi="Times New Roman" w:eastAsia="Times New Roman" w:cs="Times New Roman"/>
          <w:b w:val="0"/>
          <w:i w:val="0"/>
          <w:color w:val="auto"/>
          <w:kern w:val="0"/>
          <w:sz w:val="24"/>
          <w:lang w:val="en-US"/>
          <w14:ligatures w14:val="none"/>
        </w:rPr>
        <w:t>Kauppi, 2022</w:t>
      </w:r>
      <w:r>
        <w:rPr>
          <w:rFonts w:ascii="Times New Roman" w:hAnsi="Times New Roman" w:eastAsia="Times New Roman" w:cs="Times New Roman"/>
          <w:b w:val="0"/>
          <w:i w:val="0"/>
          <w:color w:val="auto"/>
          <w:kern w:val="0"/>
          <w:sz w:val="24"/>
          <w:lang w:val="en-US"/>
          <w14:ligatures w14:val="none"/>
        </w:rPr>
        <w:t>).</w:t>
      </w:r>
      <w:r>
        <w:rPr>
          <w:rFonts w:hint="default" w:ascii="Times New Roman" w:hAnsi="Times New Roman" w:eastAsia="Times New Roman" w:cs="Times New Roman"/>
          <w:b w:val="0"/>
          <w:i w:val="0"/>
          <w:color w:val="auto"/>
          <w:kern w:val="0"/>
          <w:sz w:val="24"/>
          <w:lang w:val="en-US"/>
          <w14:ligatures w14:val="none"/>
        </w:rPr>
        <w:t xml:space="preserve"> Fraud Triangle Theory </w:t>
      </w:r>
      <w:r>
        <w:rPr>
          <w:rFonts w:ascii="Times New Roman" w:hAnsi="Times New Roman" w:eastAsia="Times New Roman" w:cs="Times New Roman"/>
          <w:b w:val="0"/>
          <w:i w:val="0"/>
          <w:color w:val="auto"/>
          <w:kern w:val="0"/>
          <w:sz w:val="24"/>
          <w:lang w:val="en-US"/>
          <w14:ligatures w14:val="none"/>
        </w:rPr>
        <w:t>posits that fraud occurs wh</w:t>
      </w:r>
      <w:r>
        <w:rPr>
          <w:rFonts w:hint="default" w:ascii="Times New Roman" w:hAnsi="Times New Roman" w:eastAsia="Times New Roman" w:cs="Times New Roman"/>
          <w:b w:val="0"/>
          <w:i w:val="0"/>
          <w:color w:val="auto"/>
          <w:kern w:val="0"/>
          <w:sz w:val="24"/>
          <w:lang w:val="en-US"/>
          <w14:ligatures w14:val="none"/>
        </w:rPr>
        <w:t>en</w:t>
      </w:r>
      <w:r>
        <w:rPr>
          <w:rFonts w:ascii="Times New Roman" w:hAnsi="Times New Roman" w:eastAsia="Times New Roman" w:cs="Times New Roman"/>
          <w:b w:val="0"/>
          <w:i w:val="0"/>
          <w:color w:val="auto"/>
          <w:kern w:val="0"/>
          <w:sz w:val="24"/>
          <w:lang w:val="en-US"/>
          <w14:ligatures w14:val="none"/>
        </w:rPr>
        <w:t xml:space="preserve"> th</w:t>
      </w:r>
      <w:r>
        <w:rPr>
          <w:rFonts w:hint="default" w:ascii="Times New Roman" w:hAnsi="Times New Roman" w:eastAsia="Times New Roman" w:cs="Times New Roman"/>
          <w:b w:val="0"/>
          <w:i w:val="0"/>
          <w:color w:val="auto"/>
          <w:kern w:val="0"/>
          <w:sz w:val="24"/>
          <w:lang w:val="en-US"/>
          <w14:ligatures w14:val="none"/>
        </w:rPr>
        <w:t xml:space="preserve">ere is opportunity, pressure and rationalisation </w:t>
      </w:r>
      <w:r>
        <w:rPr>
          <w:rFonts w:ascii="Times New Roman" w:hAnsi="Times New Roman" w:eastAsia="Times New Roman" w:cs="Times New Roman"/>
          <w:b w:val="0"/>
          <w:i w:val="0"/>
          <w:color w:val="auto"/>
          <w:kern w:val="0"/>
          <w:sz w:val="24"/>
          <w:lang w:val="en-US"/>
          <w14:ligatures w14:val="none"/>
        </w:rPr>
        <w:t>(</w:t>
      </w:r>
      <w:r>
        <w:rPr>
          <w:rFonts w:hint="default" w:ascii="Times New Roman" w:hAnsi="Times New Roman" w:eastAsia="Times New Roman" w:cs="Times New Roman"/>
          <w:b w:val="0"/>
          <w:i w:val="0"/>
          <w:color w:val="auto"/>
          <w:kern w:val="0"/>
          <w:sz w:val="24"/>
          <w:lang w:val="en-US"/>
          <w14:ligatures w14:val="none"/>
        </w:rPr>
        <w:t>Akkeren</w:t>
      </w:r>
      <w:r>
        <w:rPr>
          <w:rFonts w:ascii="Times New Roman" w:hAnsi="Times New Roman" w:eastAsia="Times New Roman" w:cs="Times New Roman"/>
          <w:b w:val="0"/>
          <w:i w:val="0"/>
          <w:color w:val="auto"/>
          <w:kern w:val="0"/>
          <w:sz w:val="24"/>
          <w:lang w:val="en-US"/>
          <w14:ligatures w14:val="none"/>
        </w:rPr>
        <w:t xml:space="preserve">, </w:t>
      </w:r>
      <w:r>
        <w:rPr>
          <w:rFonts w:hint="default" w:ascii="Times New Roman" w:hAnsi="Times New Roman" w:eastAsia="Times New Roman" w:cs="Times New Roman"/>
          <w:b w:val="0"/>
          <w:i w:val="0"/>
          <w:color w:val="auto"/>
          <w:kern w:val="0"/>
          <w:sz w:val="24"/>
          <w:lang w:val="en-US"/>
          <w14:ligatures w14:val="none"/>
        </w:rPr>
        <w:t>2023</w:t>
      </w:r>
      <w:r>
        <w:rPr>
          <w:rFonts w:ascii="Times New Roman" w:hAnsi="Times New Roman" w:eastAsia="Times New Roman" w:cs="Times New Roman"/>
          <w:b w:val="0"/>
          <w:i w:val="0"/>
          <w:color w:val="auto"/>
          <w:kern w:val="0"/>
          <w:sz w:val="24"/>
          <w:lang w:val="en-US"/>
          <w14:ligatures w14:val="none"/>
        </w:rPr>
        <w:t>)</w:t>
      </w:r>
      <w:r>
        <w:rPr>
          <w:rFonts w:hint="default" w:ascii="Times New Roman" w:hAnsi="Times New Roman" w:eastAsia="Times New Roman" w:cs="Times New Roman"/>
          <w:b w:val="0"/>
          <w:i w:val="0"/>
          <w:color w:val="auto"/>
          <w:kern w:val="0"/>
          <w:sz w:val="24"/>
          <w:lang w:val="en-US"/>
          <w14:ligatures w14:val="none"/>
        </w:rPr>
        <w:t xml:space="preserve">. With adequate and effective risk management and corporate governance structures such as internal control and oversight, opportunities for these fraudulent behaviours are reduced (Akkeren, 2023).   </w:t>
      </w:r>
    </w:p>
    <w:p w14:paraId="4D120EE6">
      <w:pPr>
        <w:widowControl/>
        <w:suppressAutoHyphens/>
        <w:bidi w:val="0"/>
        <w:spacing w:before="120" w:after="240" w:line="480" w:lineRule="auto"/>
        <w:ind w:firstLine="720"/>
        <w:jc w:val="both"/>
        <w:rPr>
          <w:rFonts w:hint="default" w:ascii="Times New Roman" w:hAnsi="Times New Roman" w:eastAsia="Times New Roman" w:cs="Times New Roman"/>
          <w:b w:val="0"/>
          <w:i w:val="0"/>
          <w:color w:val="auto"/>
          <w:kern w:val="0"/>
          <w:sz w:val="24"/>
          <w:lang w:val="en-US"/>
          <w14:ligatures w14:val="none"/>
        </w:rPr>
      </w:pPr>
      <w:r>
        <w:rPr>
          <w:rFonts w:hint="default" w:ascii="Times New Roman" w:hAnsi="Times New Roman" w:eastAsia="Times New Roman" w:cs="Times New Roman"/>
          <w:b w:val="0"/>
          <w:i w:val="0"/>
          <w:color w:val="auto"/>
          <w:kern w:val="0"/>
          <w:sz w:val="24"/>
          <w:lang w:val="en-US"/>
          <w14:ligatures w14:val="none"/>
        </w:rPr>
        <w:t xml:space="preserve">Despite the existence of regulatory reforms, fraud remains an enduring obstacle in Ghana. Recent reports on fraud cases from the Bank of Ghana indicated 16,733 recorded fraud cases, this was according to its 2024 annual report. These cases span across banks, specialised deposit-taking institutions and payment service providers.  With losses form forgery related cases rising to </w:t>
      </w:r>
      <w:r>
        <w:rPr>
          <w:rFonts w:ascii="Times New Roman" w:hAnsi="Times New Roman" w:eastAsia="Times New Roman" w:cs="Times New Roman"/>
          <w:b w:val="0"/>
          <w:i w:val="0"/>
          <w:color w:val="auto"/>
          <w:kern w:val="0"/>
          <w:sz w:val="24"/>
          <w:lang w:val="en-US"/>
          <w14:ligatures w14:val="none"/>
        </w:rPr>
        <w:t xml:space="preserve"> GH¢53.5 million</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(Bank of Ghana, 2025).</w:t>
      </w:r>
      <w:r>
        <w:rPr>
          <w:rFonts w:hint="default" w:ascii="Times New Roman" w:hAnsi="Times New Roman" w:eastAsia="Times New Roman" w:cs="Times New Roman"/>
          <w:b w:val="0"/>
          <w:i w:val="0"/>
          <w:color w:val="auto"/>
          <w:kern w:val="0"/>
          <w:sz w:val="24"/>
          <w:lang w:val="en-US"/>
          <w14:ligatures w14:val="none"/>
        </w:rPr>
        <w:t xml:space="preserve"> Despite a 33% rise of staff involvement in these cases, only 43% of implicated employees were dismissed indicating inadequate preventive and enforcement mechanisms (Bank of Ghana, 2025).</w:t>
      </w:r>
      <w:r>
        <w:rPr>
          <w:rFonts w:ascii="Times New Roman" w:hAnsi="Times New Roman" w:eastAsia="Times New Roman" w:cs="Times New Roman"/>
          <w:b w:val="0"/>
          <w:i w:val="0"/>
          <w:color w:val="auto"/>
          <w:kern w:val="0"/>
          <w:sz w:val="24"/>
          <w:lang w:val="en-US"/>
          <w14:ligatures w14:val="none"/>
        </w:rPr>
        <w:t xml:space="preserve"> These trends</w:t>
      </w:r>
      <w:r>
        <w:rPr>
          <w:rFonts w:hint="default" w:ascii="Times New Roman" w:hAnsi="Times New Roman" w:eastAsia="Times New Roman" w:cs="Times New Roman"/>
          <w:b w:val="0"/>
          <w:i w:val="0"/>
          <w:color w:val="auto"/>
          <w:kern w:val="0"/>
          <w:sz w:val="24"/>
          <w:lang w:val="en-US"/>
          <w14:ligatures w14:val="none"/>
        </w:rPr>
        <w:t xml:space="preserve"> raise the question to whether corporate governance and risk management are considered merely as tools for meeting regulatory standards or as strategic mechanisms for effectiveness.</w:t>
      </w:r>
    </w:p>
    <w:p w14:paraId="00897887">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b w:val="0"/>
          <w:i w:val="0"/>
          <w:color w:val="auto"/>
          <w:kern w:val="0"/>
          <w:sz w:val="24"/>
          <w:lang w:val="en-US"/>
          <w14:ligatures w14:val="none"/>
        </w:rPr>
        <w:t xml:space="preserve">While previous studies examined corporate governance and organisatonal performance </w:t>
      </w:r>
      <w:r>
        <w:rPr>
          <w:rFonts w:ascii="Times New Roman" w:hAnsi="Times New Roman" w:eastAsia="Times New Roman" w:cs="Times New Roman"/>
          <w:b w:val="0"/>
          <w:i w:val="0"/>
          <w:color w:val="auto"/>
          <w:kern w:val="0"/>
          <w:sz w:val="24"/>
          <w:lang w:val="en-US"/>
          <w14:ligatures w14:val="none"/>
        </w:rPr>
        <w:t>(Atugeba &amp; Acquah-Sam, 2024; Ofori, Tandoh &amp; Agyapong, 2025)</w:t>
      </w:r>
      <w:r>
        <w:rPr>
          <w:rFonts w:hint="default" w:ascii="Times New Roman" w:hAnsi="Times New Roman" w:eastAsia="Times New Roman" w:cs="Times New Roman"/>
          <w:b w:val="0"/>
          <w:i w:val="0"/>
          <w:color w:val="auto"/>
          <w:kern w:val="0"/>
          <w:sz w:val="24"/>
          <w:lang w:val="en-US"/>
          <w14:ligatures w14:val="none"/>
        </w:rPr>
        <w:t xml:space="preserve"> and others have examined risk management effectiveness in financial institutions </w:t>
      </w:r>
      <w:r>
        <w:rPr>
          <w:rFonts w:ascii="Times New Roman" w:hAnsi="Times New Roman" w:eastAsia="Times New Roman" w:cs="Times New Roman"/>
          <w:b w:val="0"/>
          <w:i w:val="0"/>
          <w:color w:val="auto"/>
          <w:kern w:val="0"/>
          <w:sz w:val="24"/>
          <w:lang w:val="en-US"/>
          <w14:ligatures w14:val="none"/>
        </w:rPr>
        <w:t>(Gakpo, 2021, 2022, 2024; Bonsu, Gyamfi &amp; Darko, 2018; Otoo, 2023)</w:t>
      </w:r>
      <w:r>
        <w:rPr>
          <w:rFonts w:hint="default" w:ascii="Times New Roman" w:hAnsi="Times New Roman" w:eastAsia="Times New Roman" w:cs="Times New Roman"/>
          <w:b w:val="0"/>
          <w:i w:val="0"/>
          <w:color w:val="auto"/>
          <w:kern w:val="0"/>
          <w:sz w:val="24"/>
          <w:lang w:val="en-US"/>
          <w14:ligatures w14:val="none"/>
        </w:rPr>
        <w:t xml:space="preserve"> in Ghana, l</w:t>
      </w:r>
      <w:r>
        <w:rPr>
          <w:rFonts w:ascii="Times New Roman" w:hAnsi="Times New Roman" w:eastAsia="Times New Roman" w:cs="Times New Roman"/>
          <w:b w:val="0"/>
          <w:i w:val="0"/>
          <w:color w:val="auto"/>
          <w:kern w:val="0"/>
          <w:sz w:val="24"/>
          <w:lang w:val="en-US"/>
          <w14:ligatures w14:val="none"/>
        </w:rPr>
        <w:t>imited empirical research has examined the combined</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role of corporate governance and risk managemen</w:t>
      </w:r>
      <w:r>
        <w:rPr>
          <w:rFonts w:hint="default" w:ascii="Times New Roman" w:hAnsi="Times New Roman" w:eastAsia="Times New Roman" w:cs="Times New Roman"/>
          <w:b w:val="0"/>
          <w:i w:val="0"/>
          <w:color w:val="auto"/>
          <w:kern w:val="0"/>
          <w:sz w:val="24"/>
          <w:lang w:val="en-US"/>
          <w14:ligatures w14:val="none"/>
        </w:rPr>
        <w:t xml:space="preserve">t as strategic tools for </w:t>
      </w:r>
      <w:r>
        <w:rPr>
          <w:rFonts w:ascii="Times New Roman" w:hAnsi="Times New Roman" w:eastAsia="Times New Roman" w:cs="Times New Roman"/>
          <w:b w:val="0"/>
          <w:i w:val="0"/>
          <w:color w:val="auto"/>
          <w:kern w:val="0"/>
          <w:sz w:val="24"/>
          <w:lang w:val="en-US"/>
          <w14:ligatures w14:val="none"/>
        </w:rPr>
        <w:t>fraud prevention</w:t>
      </w:r>
      <w:r>
        <w:rPr>
          <w:rFonts w:hint="default" w:ascii="Times New Roman" w:hAnsi="Times New Roman" w:eastAsia="Times New Roman" w:cs="Times New Roman"/>
          <w:b w:val="0"/>
          <w:i w:val="0"/>
          <w:color w:val="auto"/>
          <w:kern w:val="0"/>
          <w:sz w:val="24"/>
          <w:lang w:val="en-US"/>
          <w14:ligatures w14:val="none"/>
        </w:rPr>
        <w:t xml:space="preserve"> and organanisational effectiveness across multiple sectors.</w:t>
      </w:r>
      <w:r>
        <w:rPr>
          <w:rFonts w:ascii="Times New Roman" w:hAnsi="Times New Roman" w:eastAsia="Times New Roman" w:cs="Times New Roman"/>
          <w:b w:val="0"/>
          <w:i w:val="0"/>
          <w:color w:val="auto"/>
          <w:kern w:val="0"/>
          <w:sz w:val="24"/>
          <w:lang w:val="en-US"/>
          <w14:ligatures w14:val="none"/>
        </w:rPr>
        <w:t xml:space="preserve"> This study exam</w:t>
      </w:r>
      <w:r>
        <w:rPr>
          <w:rFonts w:hint="default" w:ascii="Times New Roman" w:hAnsi="Times New Roman" w:eastAsia="Times New Roman" w:cs="Times New Roman"/>
          <w:b w:val="0"/>
          <w:i w:val="0"/>
          <w:color w:val="auto"/>
          <w:kern w:val="0"/>
          <w:sz w:val="24"/>
          <w:lang w:val="en-US"/>
          <w14:ligatures w14:val="none"/>
        </w:rPr>
        <w:t>ine</w:t>
      </w:r>
      <w:r>
        <w:rPr>
          <w:rFonts w:ascii="Times New Roman" w:hAnsi="Times New Roman" w:eastAsia="Times New Roman" w:cs="Times New Roman"/>
          <w:b w:val="0"/>
          <w:i w:val="0"/>
          <w:color w:val="auto"/>
          <w:kern w:val="0"/>
          <w:sz w:val="24"/>
          <w:lang w:val="en-US"/>
          <w14:ligatures w14:val="none"/>
        </w:rPr>
        <w:t xml:space="preserve"> the strategic role of</w:t>
      </w:r>
      <w:r>
        <w:rPr>
          <w:rFonts w:hint="default" w:ascii="Times New Roman" w:hAnsi="Times New Roman" w:eastAsia="Times New Roman" w:cs="Times New Roman"/>
          <w:b w:val="0"/>
          <w:i w:val="0"/>
          <w:color w:val="auto"/>
          <w:kern w:val="0"/>
          <w:sz w:val="24"/>
          <w:lang w:val="en-US"/>
          <w14:ligatures w14:val="none"/>
        </w:rPr>
        <w:t xml:space="preserve"> these mechanisms in selected Ghanaian firms</w:t>
      </w:r>
      <w:r>
        <w:rPr>
          <w:rFonts w:ascii="Times New Roman" w:hAnsi="Times New Roman" w:eastAsia="Times New Roman" w:cs="Times New Roman"/>
          <w:b w:val="0"/>
          <w:i w:val="0"/>
          <w:color w:val="auto"/>
          <w:kern w:val="0"/>
          <w:sz w:val="24"/>
          <w:lang w:val="en-US"/>
          <w14:ligatures w14:val="none"/>
        </w:rPr>
        <w:t>.</w:t>
      </w:r>
    </w:p>
    <w:p w14:paraId="29027C8E">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3" w:name="__RefHeading___Toc3580_3370473891"/>
      <w:bookmarkEnd w:id="3"/>
      <w:r>
        <w:rPr>
          <w:rFonts w:ascii="Times New Roman" w:hAnsi="Times New Roman" w:eastAsia="Times New Roman" w:cs="Times New Roman"/>
          <w:b/>
          <w:bCs/>
          <w:i w:val="0"/>
          <w:color w:val="000000"/>
          <w:kern w:val="0"/>
          <w:sz w:val="24"/>
          <w:szCs w:val="28"/>
          <w:lang w:val="en-US" w:eastAsia="en-US" w:bidi="ar-SA"/>
          <w14:ligatures w14:val="none"/>
        </w:rPr>
        <w:t>Statement of the problem</w:t>
      </w:r>
    </w:p>
    <w:p w14:paraId="1AA1AE13">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Fraud continues to pose a significant threat to organisational sustainability, stakeholder confidence and national economic stability in Ghana. The Bank of Ghana</w:t>
      </w:r>
      <w:r>
        <w:rPr>
          <w:rFonts w:hint="default" w:ascii="Times New Roman" w:hAnsi="Times New Roman" w:eastAsia="Times New Roman" w:cs="Times New Roman"/>
          <w:b w:val="0"/>
          <w:i w:val="0"/>
          <w:color w:val="auto"/>
          <w:kern w:val="0"/>
          <w:sz w:val="24"/>
          <w:lang w:val="en-US"/>
          <w14:ligatures w14:val="none"/>
        </w:rPr>
        <w:t>’</w:t>
      </w:r>
      <w:r>
        <w:rPr>
          <w:rFonts w:ascii="Times New Roman" w:hAnsi="Times New Roman" w:eastAsia="Times New Roman" w:cs="Times New Roman"/>
          <w:b w:val="0"/>
          <w:i w:val="0"/>
          <w:color w:val="auto"/>
          <w:kern w:val="0"/>
          <w:sz w:val="24"/>
          <w:lang w:val="en-US"/>
          <w14:ligatures w14:val="none"/>
        </w:rPr>
        <w:t xml:space="preserve">s 2024 </w:t>
      </w:r>
      <w:r>
        <w:rPr>
          <w:rFonts w:hint="default" w:ascii="Times New Roman" w:hAnsi="Times New Roman" w:eastAsia="Times New Roman" w:cs="Times New Roman"/>
          <w:b w:val="0"/>
          <w:i w:val="0"/>
          <w:color w:val="auto"/>
          <w:kern w:val="0"/>
          <w:sz w:val="24"/>
          <w:lang w:val="en-US"/>
          <w14:ligatures w14:val="none"/>
        </w:rPr>
        <w:t>a</w:t>
      </w:r>
      <w:r>
        <w:rPr>
          <w:rFonts w:ascii="Times New Roman" w:hAnsi="Times New Roman" w:eastAsia="Times New Roman" w:cs="Times New Roman"/>
          <w:b w:val="0"/>
          <w:i w:val="0"/>
          <w:color w:val="auto"/>
          <w:kern w:val="0"/>
          <w:sz w:val="24"/>
          <w:lang w:val="en-US"/>
          <w14:ligatures w14:val="none"/>
        </w:rPr>
        <w:t xml:space="preserve">nnual </w:t>
      </w:r>
      <w:r>
        <w:rPr>
          <w:rFonts w:hint="default" w:ascii="Times New Roman" w:hAnsi="Times New Roman" w:eastAsia="Times New Roman" w:cs="Times New Roman"/>
          <w:b w:val="0"/>
          <w:i w:val="0"/>
          <w:color w:val="auto"/>
          <w:kern w:val="0"/>
          <w:sz w:val="24"/>
          <w:lang w:val="en-US"/>
          <w14:ligatures w14:val="none"/>
        </w:rPr>
        <w:t>f</w:t>
      </w:r>
      <w:r>
        <w:rPr>
          <w:rFonts w:ascii="Times New Roman" w:hAnsi="Times New Roman" w:eastAsia="Times New Roman" w:cs="Times New Roman"/>
          <w:b w:val="0"/>
          <w:i w:val="0"/>
          <w:color w:val="auto"/>
          <w:kern w:val="0"/>
          <w:sz w:val="24"/>
          <w:lang w:val="en-US"/>
          <w14:ligatures w14:val="none"/>
        </w:rPr>
        <w:t xml:space="preserve">raud </w:t>
      </w:r>
      <w:r>
        <w:rPr>
          <w:rFonts w:hint="default" w:ascii="Times New Roman" w:hAnsi="Times New Roman" w:eastAsia="Times New Roman" w:cs="Times New Roman"/>
          <w:b w:val="0"/>
          <w:i w:val="0"/>
          <w:color w:val="auto"/>
          <w:kern w:val="0"/>
          <w:sz w:val="24"/>
          <w:lang w:val="en-US"/>
          <w14:ligatures w14:val="none"/>
        </w:rPr>
        <w:t>r</w:t>
      </w:r>
      <w:r>
        <w:rPr>
          <w:rFonts w:ascii="Times New Roman" w:hAnsi="Times New Roman" w:eastAsia="Times New Roman" w:cs="Times New Roman"/>
          <w:b w:val="0"/>
          <w:i w:val="0"/>
          <w:color w:val="auto"/>
          <w:kern w:val="0"/>
          <w:sz w:val="24"/>
          <w:lang w:val="en-US"/>
          <w14:ligatures w14:val="none"/>
        </w:rPr>
        <w:t>eport shows that the financial services sector recorded 16,733 fraud cases in 2024,</w:t>
      </w:r>
      <w:r>
        <w:rPr>
          <w:rFonts w:hint="default" w:ascii="Times New Roman" w:hAnsi="Times New Roman" w:eastAsia="Times New Roman" w:cs="Times New Roman"/>
          <w:b w:val="0"/>
          <w:i w:val="0"/>
          <w:color w:val="auto"/>
          <w:kern w:val="0"/>
          <w:sz w:val="24"/>
          <w:lang w:val="en-US"/>
          <w14:ligatures w14:val="none"/>
        </w:rPr>
        <w:t xml:space="preserve"> which was</w:t>
      </w:r>
      <w:r>
        <w:rPr>
          <w:rFonts w:ascii="Times New Roman" w:hAnsi="Times New Roman" w:eastAsia="Times New Roman" w:cs="Times New Roman"/>
          <w:b w:val="0"/>
          <w:i w:val="0"/>
          <w:color w:val="auto"/>
          <w:kern w:val="0"/>
          <w:sz w:val="24"/>
          <w:lang w:val="en-US"/>
          <w14:ligatures w14:val="none"/>
        </w:rPr>
        <w:t xml:space="preserve"> a 5% increase on 2023</w:t>
      </w:r>
      <w:r>
        <w:rPr>
          <w:rFonts w:hint="default" w:ascii="Times New Roman" w:hAnsi="Times New Roman" w:eastAsia="Times New Roman" w:cs="Times New Roman"/>
          <w:b w:val="0"/>
          <w:i w:val="0"/>
          <w:color w:val="auto"/>
          <w:kern w:val="0"/>
          <w:sz w:val="24"/>
          <w:lang w:val="en-US"/>
          <w14:ligatures w14:val="none"/>
        </w:rPr>
        <w:t>. Where</w:t>
      </w:r>
      <w:r>
        <w:rPr>
          <w:rFonts w:ascii="Times New Roman" w:hAnsi="Times New Roman" w:eastAsia="Times New Roman" w:cs="Times New Roman"/>
          <w:b w:val="0"/>
          <w:i w:val="0"/>
          <w:color w:val="auto"/>
          <w:kern w:val="0"/>
          <w:sz w:val="24"/>
          <w:lang w:val="en-US"/>
          <w14:ligatures w14:val="none"/>
        </w:rPr>
        <w:t xml:space="preserve"> forgery and document manipulation losses rose from GH¢7.47 million in 2023 to GH¢53.5 million in 2024</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(Bank of Ghana, 2025).</w:t>
      </w:r>
      <w:r>
        <w:rPr>
          <w:rFonts w:hint="default" w:ascii="Times New Roman" w:hAnsi="Times New Roman" w:eastAsia="Times New Roman" w:cs="Times New Roman"/>
          <w:b w:val="0"/>
          <w:i w:val="0"/>
          <w:color w:val="auto"/>
          <w:kern w:val="0"/>
          <w:sz w:val="24"/>
          <w:lang w:val="en-US"/>
          <w14:ligatures w14:val="none"/>
        </w:rPr>
        <w:t xml:space="preserve"> Beyond the banking sector, </w:t>
      </w:r>
      <w:r>
        <w:rPr>
          <w:rFonts w:ascii="Times New Roman" w:hAnsi="Times New Roman" w:eastAsia="Times New Roman" w:cs="Times New Roman"/>
          <w:b w:val="0"/>
          <w:i w:val="0"/>
          <w:color w:val="auto"/>
          <w:kern w:val="0"/>
          <w:sz w:val="24"/>
          <w:lang w:val="en-US"/>
          <w14:ligatures w14:val="none"/>
        </w:rPr>
        <w:t>several sectors of the economy</w:t>
      </w:r>
      <w:r>
        <w:rPr>
          <w:rFonts w:hint="default" w:ascii="Times New Roman" w:hAnsi="Times New Roman" w:eastAsia="Times New Roman" w:cs="Times New Roman"/>
          <w:b w:val="0"/>
          <w:i w:val="0"/>
          <w:color w:val="auto"/>
          <w:kern w:val="0"/>
          <w:sz w:val="24"/>
          <w:lang w:val="en-US"/>
          <w14:ligatures w14:val="none"/>
        </w:rPr>
        <w:t xml:space="preserve"> including </w:t>
      </w:r>
      <w:r>
        <w:rPr>
          <w:rFonts w:ascii="Times New Roman" w:hAnsi="Times New Roman" w:eastAsia="Times New Roman" w:cs="Times New Roman"/>
          <w:b w:val="0"/>
          <w:i w:val="0"/>
          <w:color w:val="auto"/>
          <w:kern w:val="0"/>
          <w:sz w:val="24"/>
          <w:lang w:val="en-US"/>
          <w14:ligatures w14:val="none"/>
        </w:rPr>
        <w:t>public procurement, the energy sector an</w:t>
      </w:r>
      <w:r>
        <w:rPr>
          <w:rFonts w:hint="default" w:ascii="Times New Roman" w:hAnsi="Times New Roman" w:eastAsia="Times New Roman" w:cs="Times New Roman"/>
          <w:b w:val="0"/>
          <w:i w:val="0"/>
          <w:color w:val="auto"/>
          <w:kern w:val="0"/>
          <w:sz w:val="24"/>
          <w:lang w:val="en-US"/>
          <w14:ligatures w14:val="none"/>
        </w:rPr>
        <w:t xml:space="preserve">d </w:t>
      </w:r>
      <w:r>
        <w:rPr>
          <w:rFonts w:ascii="Times New Roman" w:hAnsi="Times New Roman" w:eastAsia="Times New Roman" w:cs="Times New Roman"/>
          <w:b w:val="0"/>
          <w:i w:val="0"/>
          <w:color w:val="auto"/>
          <w:kern w:val="0"/>
          <w:sz w:val="24"/>
          <w:lang w:val="en-US"/>
          <w14:ligatures w14:val="none"/>
        </w:rPr>
        <w:t>telecommunications</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have also recorded governance failures and fraud</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related losses, including tender manipulation and bid</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rigging in public procurement (Osei-Tutu et al., 20</w:t>
      </w:r>
      <w:r>
        <w:rPr>
          <w:rFonts w:hint="default" w:ascii="Times New Roman" w:hAnsi="Times New Roman" w:eastAsia="Times New Roman" w:cs="Times New Roman"/>
          <w:b w:val="0"/>
          <w:i w:val="0"/>
          <w:color w:val="auto"/>
          <w:kern w:val="0"/>
          <w:sz w:val="24"/>
          <w:lang w:val="en-US"/>
          <w14:ligatures w14:val="none"/>
        </w:rPr>
        <w:t>21</w:t>
      </w:r>
      <w:r>
        <w:rPr>
          <w:rFonts w:ascii="Times New Roman" w:hAnsi="Times New Roman" w:eastAsia="Times New Roman" w:cs="Times New Roman"/>
          <w:b w:val="0"/>
          <w:i w:val="0"/>
          <w:color w:val="auto"/>
          <w:kern w:val="0"/>
          <w:sz w:val="24"/>
          <w:lang w:val="en-US"/>
          <w14:ligatures w14:val="none"/>
        </w:rPr>
        <w:t>) and the fraudulent execution of financial guarantees underlying the 2019 Power Distribution Services electricity concession.</w:t>
      </w:r>
    </w:p>
    <w:p w14:paraId="693B3975">
      <w:pPr>
        <w:widowControl/>
        <w:suppressAutoHyphens/>
        <w:bidi w:val="0"/>
        <w:spacing w:before="120" w:after="240" w:line="48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These developments suggest persistent weaknesses in internal control systems, risk governance structures and enforcement mechanisms across sectors. Ghana</w:t>
      </w:r>
      <w:r>
        <w:rPr>
          <w:rFonts w:hint="default" w:ascii="Times New Roman" w:hAnsi="Times New Roman" w:eastAsia="Times New Roman" w:cs="Times New Roman"/>
          <w:b w:val="0"/>
          <w:i w:val="0"/>
          <w:color w:val="auto"/>
          <w:kern w:val="0"/>
          <w:sz w:val="24"/>
          <w:lang w:val="en-US"/>
          <w14:ligatures w14:val="none"/>
        </w:rPr>
        <w:t>’</w:t>
      </w:r>
      <w:r>
        <w:rPr>
          <w:rFonts w:ascii="Times New Roman" w:hAnsi="Times New Roman" w:eastAsia="Times New Roman" w:cs="Times New Roman"/>
          <w:b w:val="0"/>
          <w:i w:val="0"/>
          <w:color w:val="auto"/>
          <w:kern w:val="0"/>
          <w:sz w:val="24"/>
          <w:lang w:val="en-US"/>
          <w14:ligatures w14:val="none"/>
        </w:rPr>
        <w:t>s 2018 banking sector crisis, in particular, exposed severe deficiencies in corporate governance, including weak board oversight, poor risk governance, ineffective internal controls and regulatory non-compliance (Torku &amp; Laryea, 2021; Avortri &amp; Agbanyo, 2020; Musah et al., 2022). Although regulatory reforms have</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been introduced, including the Companies Act, 2019 (Act 992) and the Bank of Ghana Corporate Governance Directive (2018), questions remain regarding th</w:t>
      </w:r>
      <w:r>
        <w:rPr>
          <w:rFonts w:hint="default" w:ascii="Times New Roman" w:hAnsi="Times New Roman" w:eastAsia="Times New Roman" w:cs="Times New Roman"/>
          <w:b w:val="0"/>
          <w:i w:val="0"/>
          <w:color w:val="auto"/>
          <w:kern w:val="0"/>
          <w:sz w:val="24"/>
          <w:lang w:val="en-US"/>
          <w14:ligatures w14:val="none"/>
        </w:rPr>
        <w:t>e</w:t>
      </w:r>
      <w:r>
        <w:rPr>
          <w:rFonts w:ascii="Times New Roman" w:hAnsi="Times New Roman" w:eastAsia="Times New Roman" w:cs="Times New Roman"/>
          <w:b w:val="0"/>
          <w:i w:val="0"/>
          <w:color w:val="auto"/>
          <w:kern w:val="0"/>
          <w:sz w:val="24"/>
          <w:lang w:val="en-US"/>
          <w14:ligatures w14:val="none"/>
        </w:rPr>
        <w:t xml:space="preserve"> effectiveness of these reforms in preventing fraud and improving organisational</w:t>
      </w:r>
      <w:r>
        <w:rPr>
          <w:rFonts w:hint="default" w:ascii="Times New Roman" w:hAnsi="Times New Roman" w:eastAsia="Times New Roman" w:cs="Times New Roman"/>
          <w:b w:val="0"/>
          <w:i w:val="0"/>
          <w:color w:val="auto"/>
          <w:kern w:val="0"/>
          <w:sz w:val="24"/>
          <w:lang w:val="en-US"/>
          <w14:ligatures w14:val="none"/>
        </w:rPr>
        <w:t xml:space="preserve"> effectiveness and sustainability</w:t>
      </w:r>
      <w:r>
        <w:rPr>
          <w:rFonts w:ascii="Times New Roman" w:hAnsi="Times New Roman" w:eastAsia="Times New Roman" w:cs="Times New Roman"/>
          <w:b w:val="0"/>
          <w:i w:val="0"/>
          <w:color w:val="auto"/>
          <w:kern w:val="0"/>
          <w:sz w:val="24"/>
          <w:lang w:val="en-US"/>
          <w14:ligatures w14:val="none"/>
        </w:rPr>
        <w:t>, rather than functioning merely as compliance requirements</w:t>
      </w:r>
      <w:r>
        <w:rPr>
          <w:rFonts w:hint="default" w:ascii="Times New Roman" w:hAnsi="Times New Roman" w:eastAsia="Times New Roman" w:cs="Times New Roman"/>
          <w:b w:val="0"/>
          <w:i w:val="0"/>
          <w:color w:val="auto"/>
          <w:kern w:val="0"/>
          <w:sz w:val="24"/>
          <w:lang w:val="en-US"/>
          <w14:ligatures w14:val="none"/>
        </w:rPr>
        <w:t xml:space="preserve"> (Kauppi, 2022).</w:t>
      </w:r>
    </w:p>
    <w:p w14:paraId="2A7AE3E3">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 xml:space="preserve">Existing studies have </w:t>
      </w:r>
      <w:r>
        <w:rPr>
          <w:rFonts w:hint="default" w:ascii="Times New Roman" w:hAnsi="Times New Roman" w:eastAsia="Times New Roman" w:cs="Times New Roman"/>
          <w:b w:val="0"/>
          <w:i w:val="0"/>
          <w:color w:val="auto"/>
          <w:kern w:val="0"/>
          <w:sz w:val="24"/>
          <w:lang w:val="en-US"/>
          <w14:ligatures w14:val="none"/>
        </w:rPr>
        <w:t>mainly</w:t>
      </w:r>
      <w:r>
        <w:rPr>
          <w:rFonts w:ascii="Times New Roman" w:hAnsi="Times New Roman" w:eastAsia="Times New Roman" w:cs="Times New Roman"/>
          <w:b w:val="0"/>
          <w:i w:val="0"/>
          <w:color w:val="auto"/>
          <w:kern w:val="0"/>
          <w:sz w:val="24"/>
          <w:lang w:val="en-US"/>
          <w14:ligatures w14:val="none"/>
        </w:rPr>
        <w:t xml:space="preserve"> examined corporate governance and financial performance (Atugeba &amp; Acquah-Sam, 2024; Ofori et al., 2025), risk management implementation in banking institutions (Gakpo, 2021, 202</w:t>
      </w:r>
      <w:r>
        <w:rPr>
          <w:rFonts w:hint="default" w:ascii="Times New Roman" w:hAnsi="Times New Roman" w:eastAsia="Times New Roman" w:cs="Times New Roman"/>
          <w:b w:val="0"/>
          <w:i w:val="0"/>
          <w:color w:val="auto"/>
          <w:kern w:val="0"/>
          <w:sz w:val="24"/>
          <w:lang w:val="en-US"/>
          <w14:ligatures w14:val="none"/>
        </w:rPr>
        <w:t>4</w:t>
      </w:r>
      <w:r>
        <w:rPr>
          <w:rFonts w:ascii="Times New Roman" w:hAnsi="Times New Roman" w:eastAsia="Times New Roman" w:cs="Times New Roman"/>
          <w:b w:val="0"/>
          <w:i w:val="0"/>
          <w:color w:val="auto"/>
          <w:kern w:val="0"/>
          <w:sz w:val="24"/>
          <w:lang w:val="en-US"/>
          <w14:ligatures w14:val="none"/>
        </w:rPr>
        <w:t>) and internal control effectiveness in Ghanaian banks (Otoo, 2023), without examining the strategic role of governance and risk management jointly in fraud prevention across sectors.</w:t>
      </w:r>
      <w:r>
        <w:rPr>
          <w:rFonts w:hint="default" w:ascii="Times New Roman" w:hAnsi="Times New Roman" w:eastAsia="Times New Roman" w:cs="Times New Roman"/>
          <w:b w:val="0"/>
          <w:i w:val="0"/>
          <w:color w:val="auto"/>
          <w:kern w:val="0"/>
          <w:sz w:val="24"/>
          <w:lang w:val="en-US"/>
          <w14:ligatures w14:val="none"/>
        </w:rPr>
        <w:t xml:space="preserve"> Limited empirical research has examined the combined effect of corporate governance and risk management on fraud prevention and organisational effectiveness across other sectors aside the banking sector. These mechanisms are implemented merely as compliance requirements rather than as strategic drivers of fraud prevention and organisational performance </w:t>
      </w:r>
      <w:r>
        <w:rPr>
          <w:rFonts w:ascii="Times New Roman" w:hAnsi="Times New Roman" w:eastAsia="Times New Roman" w:cs="Times New Roman"/>
          <w:b w:val="0"/>
          <w:i w:val="0"/>
          <w:color w:val="auto"/>
          <w:kern w:val="0"/>
          <w:sz w:val="24"/>
          <w:lang w:val="en-US"/>
          <w14:ligatures w14:val="none"/>
        </w:rPr>
        <w:t>(Osei-Tutu et al., 20</w:t>
      </w:r>
      <w:r>
        <w:rPr>
          <w:rFonts w:hint="default" w:ascii="Times New Roman" w:hAnsi="Times New Roman" w:eastAsia="Times New Roman" w:cs="Times New Roman"/>
          <w:b w:val="0"/>
          <w:i w:val="0"/>
          <w:color w:val="auto"/>
          <w:kern w:val="0"/>
          <w:sz w:val="24"/>
          <w:lang w:val="en-US"/>
          <w14:ligatures w14:val="none"/>
        </w:rPr>
        <w:t>21</w:t>
      </w:r>
      <w:r>
        <w:rPr>
          <w:rFonts w:ascii="Times New Roman" w:hAnsi="Times New Roman" w:eastAsia="Times New Roman" w:cs="Times New Roman"/>
          <w:b w:val="0"/>
          <w:i w:val="0"/>
          <w:color w:val="auto"/>
          <w:kern w:val="0"/>
          <w:sz w:val="24"/>
          <w:lang w:val="en-US"/>
          <w14:ligatures w14:val="none"/>
        </w:rPr>
        <w:t xml:space="preserve">). </w:t>
      </w:r>
      <w:r>
        <w:rPr>
          <w:rFonts w:hint="default" w:ascii="Times New Roman" w:hAnsi="Times New Roman" w:eastAsia="Times New Roman" w:cs="Times New Roman"/>
          <w:b w:val="0"/>
          <w:i w:val="0"/>
          <w:color w:val="auto"/>
          <w:kern w:val="0"/>
          <w:sz w:val="24"/>
          <w:lang w:val="en-US"/>
          <w14:ligatures w14:val="none"/>
        </w:rPr>
        <w:t xml:space="preserve">The </w:t>
      </w:r>
      <w:r>
        <w:rPr>
          <w:rFonts w:ascii="Times New Roman" w:hAnsi="Times New Roman" w:eastAsia="Times New Roman" w:cs="Times New Roman"/>
          <w:b w:val="0"/>
          <w:i w:val="0"/>
          <w:color w:val="auto"/>
          <w:kern w:val="0"/>
          <w:sz w:val="24"/>
          <w:lang w:val="en-US"/>
          <w14:ligatures w14:val="none"/>
        </w:rPr>
        <w:t>absence of integrated empirical evidence on</w:t>
      </w:r>
      <w:r>
        <w:rPr>
          <w:rFonts w:hint="default" w:ascii="Times New Roman" w:hAnsi="Times New Roman" w:eastAsia="Times New Roman" w:cs="Times New Roman"/>
          <w:b w:val="0"/>
          <w:i w:val="0"/>
          <w:color w:val="auto"/>
          <w:kern w:val="0"/>
          <w:sz w:val="24"/>
          <w:lang w:val="en-US"/>
          <w14:ligatures w14:val="none"/>
        </w:rPr>
        <w:t xml:space="preserve"> the combined effect of</w:t>
      </w:r>
      <w:r>
        <w:rPr>
          <w:rFonts w:ascii="Times New Roman" w:hAnsi="Times New Roman" w:eastAsia="Times New Roman" w:cs="Times New Roman"/>
          <w:b w:val="0"/>
          <w:i w:val="0"/>
          <w:color w:val="auto"/>
          <w:kern w:val="0"/>
          <w:sz w:val="24"/>
          <w:lang w:val="en-US"/>
          <w14:ligatures w14:val="none"/>
        </w:rPr>
        <w:t xml:space="preserve"> governance and risk management</w:t>
      </w:r>
      <w:r>
        <w:rPr>
          <w:rFonts w:hint="default" w:ascii="Times New Roman" w:hAnsi="Times New Roman" w:eastAsia="Times New Roman" w:cs="Times New Roman"/>
          <w:b w:val="0"/>
          <w:i w:val="0"/>
          <w:color w:val="auto"/>
          <w:kern w:val="0"/>
          <w:sz w:val="24"/>
          <w:lang w:val="en-US"/>
          <w14:ligatures w14:val="none"/>
        </w:rPr>
        <w:t xml:space="preserve"> on </w:t>
      </w:r>
      <w:r>
        <w:rPr>
          <w:rFonts w:ascii="Times New Roman" w:hAnsi="Times New Roman" w:eastAsia="Times New Roman" w:cs="Times New Roman"/>
          <w:b w:val="0"/>
          <w:i w:val="0"/>
          <w:color w:val="auto"/>
          <w:kern w:val="0"/>
          <w:sz w:val="24"/>
          <w:lang w:val="en-US"/>
          <w14:ligatures w14:val="none"/>
        </w:rPr>
        <w:t>fraud prevention, and</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whether fraud prevention</w:t>
      </w:r>
      <w:r>
        <w:rPr>
          <w:rFonts w:hint="default" w:ascii="Times New Roman" w:hAnsi="Times New Roman" w:eastAsia="Times New Roman" w:cs="Times New Roman"/>
          <w:b w:val="0"/>
          <w:i w:val="0"/>
          <w:color w:val="auto"/>
          <w:kern w:val="0"/>
          <w:sz w:val="24"/>
          <w:lang w:val="en-US"/>
          <w14:ligatures w14:val="none"/>
        </w:rPr>
        <w:t xml:space="preserve"> on its own is the mechanism </w:t>
      </w:r>
      <w:r>
        <w:rPr>
          <w:rFonts w:ascii="Times New Roman" w:hAnsi="Times New Roman" w:eastAsia="Times New Roman" w:cs="Times New Roman"/>
          <w:b w:val="0"/>
          <w:i w:val="0"/>
          <w:color w:val="auto"/>
          <w:kern w:val="0"/>
          <w:sz w:val="24"/>
          <w:lang w:val="en-US"/>
          <w14:ligatures w14:val="none"/>
        </w:rPr>
        <w:t>through which</w:t>
      </w:r>
      <w:r>
        <w:rPr>
          <w:rFonts w:hint="default" w:ascii="Times New Roman" w:hAnsi="Times New Roman" w:eastAsia="Times New Roman" w:cs="Times New Roman"/>
          <w:b w:val="0"/>
          <w:i w:val="0"/>
          <w:color w:val="auto"/>
          <w:kern w:val="0"/>
          <w:sz w:val="24"/>
          <w:lang w:val="en-US"/>
          <w14:ligatures w14:val="none"/>
        </w:rPr>
        <w:t xml:space="preserve"> risk management and corporate governance result in organisational effectiveness</w:t>
      </w:r>
      <w:r>
        <w:rPr>
          <w:rFonts w:ascii="Times New Roman" w:hAnsi="Times New Roman" w:eastAsia="Times New Roman" w:cs="Times New Roman"/>
          <w:b w:val="0"/>
          <w:i w:val="0"/>
          <w:color w:val="auto"/>
          <w:kern w:val="0"/>
          <w:sz w:val="24"/>
          <w:lang w:val="en-US"/>
          <w14:ligatures w14:val="none"/>
        </w:rPr>
        <w:t xml:space="preserve">, creates a significant knowledge gap. </w:t>
      </w:r>
      <w:r>
        <w:rPr>
          <w:rFonts w:ascii="Times New Roman" w:hAnsi="Times New Roman" w:eastAsia="Times New Roman" w:cs="Times New Roman"/>
          <w:color w:val="auto"/>
          <w:kern w:val="0"/>
          <w:lang w:val="en-US"/>
          <w14:ligatures w14:val="none"/>
        </w:rPr>
        <w:t>This study addresses this gap by empirically examining the strategic role of corporate governance and risk management in selected Ghanaian firms operating within the financial services, energy, public procurement and telecommunications sectors</w:t>
      </w:r>
    </w:p>
    <w:p w14:paraId="54C84183">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4" w:name="__RefHeading___Toc3582_3370473891"/>
      <w:bookmarkEnd w:id="4"/>
      <w:r>
        <w:rPr>
          <w:rFonts w:ascii="Times New Roman" w:hAnsi="Times New Roman" w:eastAsia="Times New Roman" w:cs="Times New Roman"/>
          <w:b/>
          <w:bCs/>
          <w:i w:val="0"/>
          <w:color w:val="000000"/>
          <w:kern w:val="0"/>
          <w:sz w:val="24"/>
          <w:szCs w:val="28"/>
          <w:lang w:val="en-US" w:eastAsia="en-US" w:bidi="ar-SA"/>
          <w14:ligatures w14:val="none"/>
        </w:rPr>
        <w:t>Research objectives</w:t>
      </w:r>
    </w:p>
    <w:p w14:paraId="63F661FE">
      <w:pPr>
        <w:widowControl/>
        <w:suppressAutoHyphens/>
        <w:bidi w:val="0"/>
        <w:spacing w:before="120" w:after="240" w:line="480" w:lineRule="auto"/>
        <w:ind w:firstLine="720"/>
        <w:jc w:val="both"/>
        <w:rPr>
          <w:rFonts w:ascii="Times New Roman" w:hAnsi="Times New Roman" w:eastAsia="Times New Roman" w:cs="Times New Roman"/>
          <w:b w:val="0"/>
          <w:i w:val="0"/>
          <w:color w:val="auto"/>
          <w:kern w:val="0"/>
          <w:sz w:val="24"/>
          <w:lang w:val="en-US"/>
          <w14:ligatures w14:val="none"/>
        </w:rPr>
      </w:pPr>
      <w:r>
        <w:rPr>
          <w:rFonts w:ascii="Times New Roman" w:hAnsi="Times New Roman" w:eastAsia="Times New Roman" w:cs="Times New Roman"/>
          <w:b w:val="0"/>
          <w:i w:val="0"/>
          <w:color w:val="auto"/>
          <w:kern w:val="0"/>
          <w:sz w:val="24"/>
          <w:lang w:val="en-US"/>
          <w14:ligatures w14:val="none"/>
        </w:rPr>
        <w:t>The study aims to examine how corporate governance and risk management function as strategic tools for fraud prevention and organisational effectiveness in selected Ghanaian firms. Specifically, the study seeks:</w:t>
      </w:r>
    </w:p>
    <w:p w14:paraId="08C200AD">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1. To assess the effect of corporate governance on fraud prevention in selected Ghanaian firms.</w:t>
      </w:r>
    </w:p>
    <w:p w14:paraId="3B944FD9">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2. To evaluate the effect of risk management on fraud prevention in selected Ghanaian firms.</w:t>
      </w:r>
    </w:p>
    <w:p w14:paraId="5462BF50">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3. To examine the mediating</w:t>
      </w:r>
      <w:r>
        <w:rPr>
          <w:rFonts w:hint="default" w:ascii="Times New Roman" w:hAnsi="Times New Roman" w:eastAsia="Times New Roman" w:cs="Times New Roman"/>
          <w:b w:val="0"/>
          <w:i w:val="0"/>
          <w:color w:val="auto"/>
          <w:kern w:val="0"/>
          <w:sz w:val="24"/>
          <w:lang w:val="en-US"/>
          <w14:ligatures w14:val="none"/>
        </w:rPr>
        <w:t xml:space="preserve"> effect</w:t>
      </w:r>
      <w:r>
        <w:rPr>
          <w:rFonts w:ascii="Times New Roman" w:hAnsi="Times New Roman" w:eastAsia="Times New Roman" w:cs="Times New Roman"/>
          <w:b w:val="0"/>
          <w:i w:val="0"/>
          <w:color w:val="auto"/>
          <w:kern w:val="0"/>
          <w:sz w:val="24"/>
          <w:lang w:val="en-US"/>
          <w14:ligatures w14:val="none"/>
        </w:rPr>
        <w:t xml:space="preserve"> of fraud prevention in the relationship between corporate governance, risk management and organisational effectiveness in Ghanaian firms.</w:t>
      </w:r>
    </w:p>
    <w:p w14:paraId="3681A834">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5" w:name="__RefHeading___Toc3584_3370473891"/>
      <w:bookmarkEnd w:id="5"/>
      <w:r>
        <w:rPr>
          <w:rFonts w:ascii="Times New Roman" w:hAnsi="Times New Roman" w:eastAsia="Times New Roman" w:cs="Times New Roman"/>
          <w:b/>
          <w:bCs/>
          <w:i w:val="0"/>
          <w:color w:val="000000"/>
          <w:kern w:val="0"/>
          <w:sz w:val="24"/>
          <w:szCs w:val="28"/>
          <w:lang w:val="en-US" w:eastAsia="en-US" w:bidi="ar-SA"/>
          <w14:ligatures w14:val="none"/>
        </w:rPr>
        <w:t>Research questions</w:t>
      </w:r>
    </w:p>
    <w:p w14:paraId="52483E90">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1. What effect does corporate governance have on fraud prevention in selected Ghanaian firms?</w:t>
      </w:r>
    </w:p>
    <w:p w14:paraId="5C5B10DB">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2. What effect does risk management have on fraud prevention in selected Ghanaian firms?</w:t>
      </w:r>
    </w:p>
    <w:p w14:paraId="2F73DA11">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3. Does fraud prevention mediate the relationship between corporate governance, risk management and organisational effectiveness in Ghanaian firms?</w:t>
      </w:r>
    </w:p>
    <w:p w14:paraId="25B758F1">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6" w:name="__RefHeading___Toc3586_3370473891"/>
      <w:bookmarkEnd w:id="6"/>
      <w:r>
        <w:rPr>
          <w:rFonts w:ascii="Times New Roman" w:hAnsi="Times New Roman" w:eastAsia="Times New Roman" w:cs="Times New Roman"/>
          <w:b/>
          <w:bCs/>
          <w:i w:val="0"/>
          <w:color w:val="000000"/>
          <w:kern w:val="0"/>
          <w:sz w:val="24"/>
          <w:szCs w:val="28"/>
          <w:lang w:val="en-US" w:eastAsia="en-US" w:bidi="ar-SA"/>
          <w14:ligatures w14:val="none"/>
        </w:rPr>
        <w:t>Significance of the study</w:t>
      </w:r>
    </w:p>
    <w:p w14:paraId="1EDB25B9">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 xml:space="preserve">This study makes four main contributions. First, in terms of knowledge, it closes an empirical gap in the literature by examining corporate governance and risk management as </w:t>
      </w:r>
      <w:r>
        <w:rPr>
          <w:rFonts w:hint="default" w:ascii="Times New Roman" w:hAnsi="Times New Roman" w:eastAsia="Times New Roman" w:cs="Times New Roman"/>
          <w:b w:val="0"/>
          <w:i w:val="0"/>
          <w:color w:val="auto"/>
          <w:kern w:val="0"/>
          <w:sz w:val="24"/>
          <w:lang w:val="en-US"/>
          <w14:ligatures w14:val="none"/>
        </w:rPr>
        <w:t>combined</w:t>
      </w:r>
      <w:r>
        <w:rPr>
          <w:rFonts w:ascii="Times New Roman" w:hAnsi="Times New Roman" w:eastAsia="Times New Roman" w:cs="Times New Roman"/>
          <w:b w:val="0"/>
          <w:i w:val="0"/>
          <w:color w:val="auto"/>
          <w:kern w:val="0"/>
          <w:sz w:val="24"/>
          <w:lang w:val="en-US"/>
          <w14:ligatures w14:val="none"/>
        </w:rPr>
        <w:t>, interacting mechanisms for fraud prevention across multiple sectors</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(Atugeba &amp; Acquah-Sam, 2024; Ofori et al., 2025; Gakpo,</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2024).</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Second, in terms of theory, the study</w:t>
      </w:r>
      <w:r>
        <w:rPr>
          <w:rFonts w:hint="default" w:ascii="Times New Roman" w:hAnsi="Times New Roman" w:eastAsia="Times New Roman" w:cs="Times New Roman"/>
          <w:b w:val="0"/>
          <w:i w:val="0"/>
          <w:color w:val="auto"/>
          <w:kern w:val="0"/>
          <w:sz w:val="24"/>
          <w:lang w:val="en-US"/>
          <w14:ligatures w14:val="none"/>
        </w:rPr>
        <w:t xml:space="preserve"> determines</w:t>
      </w:r>
      <w:r>
        <w:rPr>
          <w:rFonts w:ascii="Times New Roman" w:hAnsi="Times New Roman" w:eastAsia="Times New Roman" w:cs="Times New Roman"/>
          <w:b w:val="0"/>
          <w:i w:val="0"/>
          <w:color w:val="auto"/>
          <w:kern w:val="0"/>
          <w:sz w:val="24"/>
          <w:lang w:val="en-US"/>
          <w14:ligatures w14:val="none"/>
        </w:rPr>
        <w:t xml:space="preserve"> whether fraud prevention operates as a mediating mechanism linking governance and risk management to organisational effectiveness</w:t>
      </w:r>
      <w:r>
        <w:rPr>
          <w:rFonts w:hint="default" w:ascii="Times New Roman" w:hAnsi="Times New Roman" w:eastAsia="Times New Roman" w:cs="Times New Roman"/>
          <w:b w:val="0"/>
          <w:i w:val="0"/>
          <w:color w:val="auto"/>
          <w:kern w:val="0"/>
          <w:sz w:val="24"/>
          <w:lang w:val="en-US"/>
          <w14:ligatures w14:val="none"/>
        </w:rPr>
        <w:t>. Broadening</w:t>
      </w:r>
      <w:r>
        <w:rPr>
          <w:rFonts w:ascii="Times New Roman" w:hAnsi="Times New Roman" w:eastAsia="Times New Roman" w:cs="Times New Roman"/>
          <w:b w:val="0"/>
          <w:i w:val="0"/>
          <w:color w:val="auto"/>
          <w:kern w:val="0"/>
          <w:sz w:val="24"/>
          <w:lang w:val="en-US"/>
          <w14:ligatures w14:val="none"/>
        </w:rPr>
        <w:t xml:space="preserve"> Agency Theory, Institutional Theory and Fraud Triangle Theory beyond their largely conceptual application in the Ghanaian context </w:t>
      </w:r>
      <w:r>
        <w:rPr>
          <w:rFonts w:hint="default" w:ascii="Times New Roman" w:hAnsi="Times New Roman" w:eastAsia="Times New Roman" w:cs="Times New Roman"/>
          <w:b w:val="0"/>
          <w:i w:val="0"/>
          <w:color w:val="auto"/>
          <w:kern w:val="0"/>
          <w:sz w:val="24"/>
          <w:lang w:val="en-US"/>
          <w14:ligatures w14:val="none"/>
        </w:rPr>
        <w:t>(Aluchna</w:t>
      </w:r>
      <w:r>
        <w:rPr>
          <w:rFonts w:ascii="Times New Roman" w:hAnsi="Times New Roman" w:eastAsia="Times New Roman" w:cs="Times New Roman"/>
          <w:b w:val="0"/>
          <w:i w:val="0"/>
          <w:color w:val="auto"/>
          <w:kern w:val="0"/>
          <w:sz w:val="24"/>
          <w:lang w:val="en-US"/>
          <w14:ligatures w14:val="none"/>
        </w:rPr>
        <w:t>,</w:t>
      </w:r>
      <w:r>
        <w:rPr>
          <w:rFonts w:hint="default" w:ascii="Times New Roman" w:hAnsi="Times New Roman" w:eastAsia="Times New Roman" w:cs="Times New Roman"/>
          <w:b w:val="0"/>
          <w:i w:val="0"/>
          <w:color w:val="auto"/>
          <w:kern w:val="0"/>
          <w:sz w:val="24"/>
          <w:lang w:val="en-US"/>
          <w14:ligatures w14:val="none"/>
        </w:rPr>
        <w:t xml:space="preserve"> 2022; Kauppi, 2022; Akkeren</w:t>
      </w:r>
      <w:r>
        <w:rPr>
          <w:rFonts w:ascii="Times New Roman" w:hAnsi="Times New Roman" w:eastAsia="Times New Roman" w:cs="Times New Roman"/>
          <w:b w:val="0"/>
          <w:i w:val="0"/>
          <w:color w:val="auto"/>
          <w:kern w:val="0"/>
          <w:sz w:val="24"/>
          <w:lang w:val="en-US"/>
          <w14:ligatures w14:val="none"/>
        </w:rPr>
        <w:t xml:space="preserve">, </w:t>
      </w:r>
      <w:r>
        <w:rPr>
          <w:rFonts w:hint="default" w:ascii="Times New Roman" w:hAnsi="Times New Roman" w:eastAsia="Times New Roman" w:cs="Times New Roman"/>
          <w:b w:val="0"/>
          <w:i w:val="0"/>
          <w:color w:val="auto"/>
          <w:kern w:val="0"/>
          <w:sz w:val="24"/>
          <w:lang w:val="en-US"/>
          <w14:ligatures w14:val="none"/>
        </w:rPr>
        <w:t xml:space="preserve">2023). </w:t>
      </w:r>
      <w:r>
        <w:rPr>
          <w:rFonts w:ascii="Times New Roman" w:hAnsi="Times New Roman" w:eastAsia="Times New Roman" w:cs="Times New Roman"/>
          <w:b w:val="0"/>
          <w:i w:val="0"/>
          <w:color w:val="auto"/>
          <w:kern w:val="0"/>
          <w:sz w:val="24"/>
          <w:lang w:val="en-US"/>
          <w14:ligatures w14:val="none"/>
        </w:rPr>
        <w:t>Third, in terms of managerial practice, the findings will give managers and boards evidence on which governance and risk</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 xml:space="preserve">management practices most predict fraud prevention, informing more targeted investment of limited resources rather than generic governance adoption. Fourth, in terms of policy, the study offers regulators and policymakers, including the Bank of Ghana and the Office of the Registrar of Companies, evidence on whether current </w:t>
      </w:r>
      <w:r>
        <w:rPr>
          <w:rFonts w:hint="default" w:ascii="Times New Roman" w:hAnsi="Times New Roman" w:eastAsia="Times New Roman" w:cs="Times New Roman"/>
          <w:b w:val="0"/>
          <w:i w:val="0"/>
          <w:color w:val="auto"/>
          <w:kern w:val="0"/>
          <w:sz w:val="24"/>
          <w:lang w:val="en-US"/>
          <w14:ligatures w14:val="none"/>
        </w:rPr>
        <w:t>regulatory</w:t>
      </w:r>
      <w:r>
        <w:rPr>
          <w:rFonts w:ascii="Times New Roman" w:hAnsi="Times New Roman" w:eastAsia="Times New Roman" w:cs="Times New Roman"/>
          <w:b w:val="0"/>
          <w:i w:val="0"/>
          <w:color w:val="auto"/>
          <w:kern w:val="0"/>
          <w:sz w:val="24"/>
          <w:lang w:val="en-US"/>
          <w14:ligatures w14:val="none"/>
        </w:rPr>
        <w:t xml:space="preserve"> reforms are functioning as intended strategic safeguards or merely as compliance</w:t>
      </w:r>
      <w:r>
        <w:rPr>
          <w:rFonts w:hint="default" w:ascii="Times New Roman" w:hAnsi="Times New Roman" w:eastAsia="Times New Roman" w:cs="Times New Roman"/>
          <w:b w:val="0"/>
          <w:i w:val="0"/>
          <w:color w:val="auto"/>
          <w:kern w:val="0"/>
          <w:sz w:val="24"/>
          <w:lang w:val="en-US"/>
          <w14:ligatures w14:val="none"/>
        </w:rPr>
        <w:t xml:space="preserve"> requirements</w:t>
      </w:r>
      <w:r>
        <w:rPr>
          <w:rFonts w:ascii="Times New Roman" w:hAnsi="Times New Roman" w:eastAsia="Times New Roman" w:cs="Times New Roman"/>
          <w:b w:val="0"/>
          <w:i w:val="0"/>
          <w:color w:val="auto"/>
          <w:kern w:val="0"/>
          <w:sz w:val="24"/>
          <w:lang w:val="en-US"/>
          <w14:ligatures w14:val="none"/>
        </w:rPr>
        <w:t>, informing future enforcement priorities.</w:t>
      </w:r>
    </w:p>
    <w:p w14:paraId="5C4EC88B">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7" w:name="__RefHeading___Toc3588_3370473891"/>
      <w:bookmarkEnd w:id="7"/>
      <w:r>
        <w:rPr>
          <w:rFonts w:ascii="Times New Roman" w:hAnsi="Times New Roman" w:eastAsia="Times New Roman" w:cs="Times New Roman"/>
          <w:b/>
          <w:bCs/>
          <w:i w:val="0"/>
          <w:color w:val="000000"/>
          <w:kern w:val="0"/>
          <w:sz w:val="24"/>
          <w:szCs w:val="28"/>
          <w:lang w:val="en-US" w:eastAsia="en-US" w:bidi="ar-SA"/>
          <w14:ligatures w14:val="none"/>
        </w:rPr>
        <w:t>Delimitation of the study</w:t>
      </w:r>
    </w:p>
    <w:p w14:paraId="2F855026">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The study focuses on selected firms operating in the Greater Accra region across four</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sectors</w:t>
      </w:r>
      <w:r>
        <w:rPr>
          <w:rFonts w:hint="default" w:ascii="Times New Roman" w:hAnsi="Times New Roman" w:eastAsia="Times New Roman" w:cs="Times New Roman"/>
          <w:b w:val="0"/>
          <w:i w:val="0"/>
          <w:color w:val="auto"/>
          <w:kern w:val="0"/>
          <w:sz w:val="24"/>
          <w:lang w:val="en-US"/>
          <w14:ligatures w14:val="none"/>
        </w:rPr>
        <w:t xml:space="preserve"> namely</w:t>
      </w:r>
      <w:r>
        <w:rPr>
          <w:rFonts w:ascii="Times New Roman" w:hAnsi="Times New Roman" w:eastAsia="Times New Roman" w:cs="Times New Roman"/>
          <w:b w:val="0"/>
          <w:i w:val="0"/>
          <w:color w:val="auto"/>
          <w:kern w:val="0"/>
          <w:sz w:val="24"/>
          <w:lang w:val="en-US"/>
          <w14:ligatures w14:val="none"/>
        </w:rPr>
        <w:t xml:space="preserve"> financial services, energy, public procurement and telecommunications/ICT, drawing on approximately ten organisations and a target sample of</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50</w:t>
      </w:r>
      <w:r>
        <w:rPr>
          <w:rFonts w:hint="default" w:ascii="Times New Roman" w:hAnsi="Times New Roman" w:eastAsia="Times New Roman" w:cs="Times New Roman"/>
          <w:b w:val="0"/>
          <w:i w:val="0"/>
          <w:color w:val="auto"/>
          <w:kern w:val="0"/>
          <w:sz w:val="24"/>
          <w:lang w:val="en-US"/>
          <w14:ligatures w14:val="none"/>
        </w:rPr>
        <w:t xml:space="preserve"> to</w:t>
      </w:r>
      <w:r>
        <w:rPr>
          <w:rFonts w:ascii="Times New Roman" w:hAnsi="Times New Roman" w:eastAsia="Times New Roman" w:cs="Times New Roman"/>
          <w:b w:val="0"/>
          <w:i w:val="0"/>
          <w:color w:val="auto"/>
          <w:kern w:val="0"/>
          <w:sz w:val="24"/>
          <w:lang w:val="en-US"/>
          <w14:ligatures w14:val="none"/>
        </w:rPr>
        <w:t xml:space="preserve"> 80</w:t>
      </w:r>
      <w:r>
        <w:rPr>
          <w:rFonts w:hint="default" w:ascii="Times New Roman" w:hAnsi="Times New Roman" w:eastAsia="Times New Roman" w:cs="Times New Roman"/>
          <w:b w:val="0"/>
          <w:i w:val="0"/>
          <w:color w:val="auto"/>
          <w:kern w:val="0"/>
          <w:sz w:val="24"/>
          <w:lang w:val="en-US"/>
          <w14:ligatures w14:val="none"/>
        </w:rPr>
        <w:t xml:space="preserve"> usable </w:t>
      </w:r>
      <w:r>
        <w:rPr>
          <w:rFonts w:ascii="Times New Roman" w:hAnsi="Times New Roman" w:eastAsia="Times New Roman" w:cs="Times New Roman"/>
          <w:b w:val="0"/>
          <w:i w:val="0"/>
          <w:color w:val="auto"/>
          <w:kern w:val="0"/>
          <w:sz w:val="24"/>
          <w:lang w:val="en-US"/>
          <w14:ligatures w14:val="none"/>
        </w:rPr>
        <w:t>responses in line with recommended minimums for undergraduate empirical research. Other sectors, such as manufacturing, mining and agriculture, are excluded, meaning sector</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specific factors influencing governance, risk management and fraud prevention outside these four sectors may not be captured. Given the sensitive nature of fraud</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related information and corporate governance practices, some organisations may also be reluctant to fully disclose information about fraud incidents, governance failures or risk</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management weaknesses. The findings are therefore not intended to generalise to all firms in Ghana, but to the fraud</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exposed sectors and firm types sampled.</w:t>
      </w:r>
    </w:p>
    <w:p w14:paraId="469B941F">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8" w:name="__RefHeading___Toc3590_3370473891"/>
      <w:bookmarkEnd w:id="8"/>
      <w:r>
        <w:rPr>
          <w:rFonts w:ascii="Times New Roman" w:hAnsi="Times New Roman" w:eastAsia="Times New Roman" w:cs="Times New Roman"/>
          <w:b/>
          <w:bCs/>
          <w:i w:val="0"/>
          <w:color w:val="000000"/>
          <w:kern w:val="0"/>
          <w:sz w:val="24"/>
          <w:szCs w:val="28"/>
          <w:lang w:val="en-US" w:eastAsia="en-US" w:bidi="ar-SA"/>
          <w14:ligatures w14:val="none"/>
        </w:rPr>
        <w:t>Research methods</w:t>
      </w:r>
    </w:p>
    <w:p w14:paraId="5394A596">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 xml:space="preserve">Research methods refer to the approaches and procedures for collecting and analysing data to address the research topic (Saunders, Lewis &amp; Thornhill, 2019). A quantitative research approach is utilised in this study, </w:t>
      </w:r>
      <w:r>
        <w:rPr>
          <w:rFonts w:hint="default" w:ascii="Times New Roman" w:hAnsi="Times New Roman" w:eastAsia="Times New Roman" w:cs="Times New Roman"/>
          <w:b w:val="0"/>
          <w:i w:val="0"/>
          <w:color w:val="auto"/>
          <w:kern w:val="0"/>
          <w:sz w:val="24"/>
          <w:lang w:val="en-US"/>
          <w14:ligatures w14:val="none"/>
        </w:rPr>
        <w:t xml:space="preserve">which involve numerical data </w:t>
      </w:r>
      <w:r>
        <w:rPr>
          <w:rFonts w:ascii="Times New Roman" w:hAnsi="Times New Roman" w:eastAsia="Times New Roman" w:cs="Times New Roman"/>
          <w:b w:val="0"/>
          <w:i w:val="0"/>
          <w:color w:val="auto"/>
          <w:kern w:val="0"/>
          <w:sz w:val="24"/>
          <w:lang w:val="en-US"/>
          <w14:ligatures w14:val="none"/>
        </w:rPr>
        <w:t>(Malhotra, 2021).</w:t>
      </w:r>
    </w:p>
    <w:p w14:paraId="77953E67">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The population for this study</w:t>
      </w:r>
      <w:r>
        <w:rPr>
          <w:rFonts w:hint="default" w:ascii="Times New Roman" w:hAnsi="Times New Roman" w:eastAsia="Times New Roman" w:cs="Times New Roman"/>
          <w:b w:val="0"/>
          <w:i w:val="0"/>
          <w:color w:val="auto"/>
          <w:kern w:val="0"/>
          <w:sz w:val="24"/>
          <w:lang w:val="en-US"/>
          <w14:ligatures w14:val="none"/>
        </w:rPr>
        <w:t xml:space="preserve"> includes</w:t>
      </w:r>
      <w:r>
        <w:rPr>
          <w:rFonts w:ascii="Times New Roman" w:hAnsi="Times New Roman" w:eastAsia="Times New Roman" w:cs="Times New Roman"/>
          <w:b w:val="0"/>
          <w:i w:val="0"/>
          <w:color w:val="auto"/>
          <w:kern w:val="0"/>
          <w:sz w:val="24"/>
          <w:lang w:val="en-US"/>
          <w14:ligatures w14:val="none"/>
        </w:rPr>
        <w:t xml:space="preserve"> organisations operating in the four sampled sectors within Accra, from which approximately ten organisations are</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selected</w:t>
      </w:r>
      <w:r>
        <w:rPr>
          <w:rFonts w:hint="default" w:ascii="Times New Roman" w:hAnsi="Times New Roman" w:eastAsia="Times New Roman" w:cs="Times New Roman"/>
          <w:b w:val="0"/>
          <w:i w:val="0"/>
          <w:color w:val="auto"/>
          <w:kern w:val="0"/>
          <w:sz w:val="24"/>
          <w:lang w:val="en-US"/>
          <w14:ligatures w14:val="none"/>
        </w:rPr>
        <w:t>, specifically</w:t>
      </w:r>
      <w:r>
        <w:rPr>
          <w:rFonts w:ascii="Times New Roman" w:hAnsi="Times New Roman" w:eastAsia="Times New Roman" w:cs="Times New Roman"/>
          <w:b w:val="0"/>
          <w:i w:val="0"/>
          <w:color w:val="auto"/>
          <w:kern w:val="0"/>
          <w:sz w:val="24"/>
          <w:lang w:val="en-US"/>
          <w14:ligatures w14:val="none"/>
        </w:rPr>
        <w:t xml:space="preserve"> commercial banks, energy</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sector firms, public procurement entities and telecommunications/ICT companies. Purposive sampling is used because respondents must hold roles connected to corporate governance, risk management or fraud prevention within their organisation.</w:t>
      </w:r>
      <w:r>
        <w:rPr>
          <w:rFonts w:hint="default" w:ascii="Times New Roman" w:hAnsi="Times New Roman" w:eastAsia="Times New Roman" w:cs="Times New Roman"/>
          <w:b w:val="0"/>
          <w:i w:val="0"/>
          <w:color w:val="auto"/>
          <w:kern w:val="0"/>
          <w:sz w:val="24"/>
          <w:lang w:val="en-US"/>
          <w14:ligatures w14:val="none"/>
        </w:rPr>
        <w:t xml:space="preserve"> From each organisation, b</w:t>
      </w:r>
      <w:r>
        <w:rPr>
          <w:rFonts w:ascii="Times New Roman" w:hAnsi="Times New Roman" w:eastAsia="Times New Roman" w:cs="Times New Roman"/>
          <w:b w:val="0"/>
          <w:i w:val="0"/>
          <w:color w:val="auto"/>
          <w:kern w:val="0"/>
          <w:sz w:val="24"/>
          <w:lang w:val="en-US"/>
          <w14:ligatures w14:val="none"/>
        </w:rPr>
        <w:t xml:space="preserve">etween five and eight respondents </w:t>
      </w:r>
      <w:r>
        <w:rPr>
          <w:rFonts w:hint="default" w:ascii="Times New Roman" w:hAnsi="Times New Roman" w:eastAsia="Times New Roman" w:cs="Times New Roman"/>
          <w:b w:val="0"/>
          <w:i w:val="0"/>
          <w:color w:val="auto"/>
          <w:kern w:val="0"/>
          <w:sz w:val="24"/>
          <w:lang w:val="en-US"/>
          <w14:ligatures w14:val="none"/>
        </w:rPr>
        <w:t>will be</w:t>
      </w:r>
      <w:r>
        <w:rPr>
          <w:rFonts w:ascii="Times New Roman" w:hAnsi="Times New Roman" w:eastAsia="Times New Roman" w:cs="Times New Roman"/>
          <w:b w:val="0"/>
          <w:i w:val="0"/>
          <w:color w:val="auto"/>
          <w:kern w:val="0"/>
          <w:sz w:val="24"/>
          <w:lang w:val="en-US"/>
          <w14:ligatures w14:val="none"/>
        </w:rPr>
        <w:t xml:space="preserve"> drawn, yielding a target sample of approximately 50 to 80 usable responses. The research instrument consists of a structured questionnaire designed to measure corporate governance practices, risk management systems, fraud prevention and organisational effectiveness. Data collecte</w:t>
      </w:r>
      <w:r>
        <w:rPr>
          <w:rFonts w:hint="default" w:ascii="Times New Roman" w:hAnsi="Times New Roman" w:eastAsia="Times New Roman" w:cs="Times New Roman"/>
          <w:b w:val="0"/>
          <w:i w:val="0"/>
          <w:color w:val="auto"/>
          <w:kern w:val="0"/>
          <w:sz w:val="24"/>
          <w:lang w:val="en-US"/>
          <w14:ligatures w14:val="none"/>
        </w:rPr>
        <w:t xml:space="preserve">d </w:t>
      </w:r>
      <w:r>
        <w:rPr>
          <w:rFonts w:ascii="Times New Roman" w:hAnsi="Times New Roman" w:eastAsia="Times New Roman" w:cs="Times New Roman"/>
          <w:b w:val="0"/>
          <w:i w:val="0"/>
          <w:color w:val="auto"/>
          <w:kern w:val="0"/>
          <w:sz w:val="24"/>
          <w:lang w:val="en-US"/>
          <w14:ligatures w14:val="none"/>
        </w:rPr>
        <w:t xml:space="preserve"> </w:t>
      </w:r>
      <w:r>
        <w:rPr>
          <w:rFonts w:hint="default" w:ascii="Times New Roman" w:hAnsi="Times New Roman" w:eastAsia="Times New Roman" w:cs="Times New Roman"/>
          <w:b w:val="0"/>
          <w:i w:val="0"/>
          <w:color w:val="auto"/>
          <w:kern w:val="0"/>
          <w:sz w:val="24"/>
          <w:lang w:val="en-US"/>
          <w14:ligatures w14:val="none"/>
        </w:rPr>
        <w:t>will be</w:t>
      </w:r>
      <w:r>
        <w:rPr>
          <w:rFonts w:ascii="Times New Roman" w:hAnsi="Times New Roman" w:eastAsia="Times New Roman" w:cs="Times New Roman"/>
          <w:b w:val="0"/>
          <w:i w:val="0"/>
          <w:color w:val="auto"/>
          <w:kern w:val="0"/>
          <w:sz w:val="24"/>
          <w:lang w:val="en-US"/>
          <w14:ligatures w14:val="none"/>
        </w:rPr>
        <w:t xml:space="preserve"> analys</w:t>
      </w:r>
      <w:r>
        <w:rPr>
          <w:rFonts w:hint="default" w:ascii="Times New Roman" w:hAnsi="Times New Roman" w:eastAsia="Times New Roman" w:cs="Times New Roman"/>
          <w:b w:val="0"/>
          <w:i w:val="0"/>
          <w:color w:val="auto"/>
          <w:kern w:val="0"/>
          <w:sz w:val="24"/>
          <w:lang w:val="en-US"/>
          <w14:ligatures w14:val="none"/>
        </w:rPr>
        <w:t>ed</w:t>
      </w:r>
      <w:r>
        <w:rPr>
          <w:rFonts w:ascii="Times New Roman" w:hAnsi="Times New Roman" w:eastAsia="Times New Roman" w:cs="Times New Roman"/>
          <w:b w:val="0"/>
          <w:i w:val="0"/>
          <w:color w:val="auto"/>
          <w:kern w:val="0"/>
          <w:sz w:val="24"/>
          <w:lang w:val="en-US"/>
          <w14:ligatures w14:val="none"/>
        </w:rPr>
        <w:t xml:space="preserve"> in the Statistical Package for the Social Sciences (SPSS), with Microsoft Excel used </w:t>
      </w:r>
      <w:r>
        <w:rPr>
          <w:rFonts w:hint="default" w:ascii="Times New Roman" w:hAnsi="Times New Roman" w:eastAsia="Times New Roman" w:cs="Times New Roman"/>
          <w:b w:val="0"/>
          <w:i w:val="0"/>
          <w:color w:val="auto"/>
          <w:kern w:val="0"/>
          <w:sz w:val="24"/>
          <w:lang w:val="en-US"/>
          <w14:ligatures w14:val="none"/>
        </w:rPr>
        <w:t xml:space="preserve">for </w:t>
      </w:r>
      <w:r>
        <w:rPr>
          <w:rFonts w:ascii="Times New Roman" w:hAnsi="Times New Roman" w:eastAsia="Times New Roman" w:cs="Times New Roman"/>
          <w:b w:val="0"/>
          <w:i w:val="0"/>
          <w:color w:val="auto"/>
          <w:kern w:val="0"/>
          <w:sz w:val="24"/>
          <w:lang w:val="en-US"/>
          <w14:ligatures w14:val="none"/>
        </w:rPr>
        <w:t>initial data organisatio</w:t>
      </w:r>
      <w:r>
        <w:rPr>
          <w:rFonts w:hint="default" w:ascii="Times New Roman" w:hAnsi="Times New Roman" w:eastAsia="Times New Roman" w:cs="Times New Roman"/>
          <w:b w:val="0"/>
          <w:i w:val="0"/>
          <w:color w:val="auto"/>
          <w:kern w:val="0"/>
          <w:sz w:val="24"/>
          <w:lang w:val="en-US"/>
          <w14:ligatures w14:val="none"/>
        </w:rPr>
        <w:t>n.</w:t>
      </w:r>
      <w:r>
        <w:rPr>
          <w:rFonts w:ascii="Times New Roman" w:hAnsi="Times New Roman" w:eastAsia="Times New Roman" w:cs="Times New Roman"/>
          <w:b w:val="0"/>
          <w:i w:val="0"/>
          <w:color w:val="auto"/>
          <w:kern w:val="0"/>
          <w:sz w:val="24"/>
          <w:lang w:val="en-US"/>
          <w14:ligatures w14:val="none"/>
        </w:rPr>
        <w:t xml:space="preserve"> Pearson correlation analysis will examine the bivariate relationships between the study</w:t>
      </w:r>
      <w:r>
        <w:rPr>
          <w:rFonts w:hint="default" w:ascii="Times New Roman" w:hAnsi="Times New Roman" w:eastAsia="Times New Roman" w:cs="Times New Roman"/>
          <w:b w:val="0"/>
          <w:i w:val="0"/>
          <w:color w:val="auto"/>
          <w:kern w:val="0"/>
          <w:sz w:val="24"/>
          <w:lang w:val="en-US"/>
          <w14:ligatures w14:val="none"/>
        </w:rPr>
        <w:t>’</w:t>
      </w:r>
      <w:r>
        <w:rPr>
          <w:rFonts w:ascii="Times New Roman" w:hAnsi="Times New Roman" w:eastAsia="Times New Roman" w:cs="Times New Roman"/>
          <w:b w:val="0"/>
          <w:i w:val="0"/>
          <w:color w:val="auto"/>
          <w:kern w:val="0"/>
          <w:sz w:val="24"/>
          <w:lang w:val="en-US"/>
          <w14:ligatures w14:val="none"/>
        </w:rPr>
        <w:t>s constructs,</w:t>
      </w:r>
      <w:r>
        <w:rPr>
          <w:rFonts w:hint="default" w:ascii="Times New Roman" w:hAnsi="Times New Roman" w:eastAsia="Times New Roman" w:cs="Times New Roman"/>
          <w:b w:val="0"/>
          <w:i w:val="0"/>
          <w:color w:val="auto"/>
          <w:kern w:val="0"/>
          <w:sz w:val="24"/>
          <w:lang w:val="en-US"/>
          <w14:ligatures w14:val="none"/>
        </w:rPr>
        <w:t xml:space="preserve"> then </w:t>
      </w:r>
      <w:r>
        <w:rPr>
          <w:rFonts w:ascii="Times New Roman" w:hAnsi="Times New Roman" w:eastAsia="Times New Roman" w:cs="Times New Roman"/>
          <w:b w:val="0"/>
          <w:i w:val="0"/>
          <w:color w:val="auto"/>
          <w:kern w:val="0"/>
          <w:sz w:val="24"/>
          <w:lang w:val="en-US"/>
          <w14:ligatures w14:val="none"/>
        </w:rPr>
        <w:t>hierarchical regression analysis, followed by Hayes</w:t>
      </w:r>
      <w:r>
        <w:rPr>
          <w:rFonts w:hint="default" w:ascii="Times New Roman" w:hAnsi="Times New Roman" w:eastAsia="Times New Roman" w:cs="Times New Roman"/>
          <w:b w:val="0"/>
          <w:i w:val="0"/>
          <w:color w:val="auto"/>
          <w:kern w:val="0"/>
          <w:sz w:val="24"/>
          <w:lang w:val="en-US"/>
          <w14:ligatures w14:val="none"/>
        </w:rPr>
        <w:t>’</w:t>
      </w:r>
      <w:r>
        <w:rPr>
          <w:rFonts w:ascii="Times New Roman" w:hAnsi="Times New Roman" w:eastAsia="Times New Roman" w:cs="Times New Roman"/>
          <w:b w:val="0"/>
          <w:i w:val="0"/>
          <w:color w:val="auto"/>
          <w:kern w:val="0"/>
          <w:sz w:val="24"/>
          <w:lang w:val="en-US"/>
          <w14:ligatures w14:val="none"/>
        </w:rPr>
        <w:t xml:space="preserve"> PROCESS macro with bootstrapped confidence intervals, will be used to test the study</w:t>
      </w:r>
      <w:r>
        <w:rPr>
          <w:rFonts w:hint="default" w:ascii="Times New Roman" w:hAnsi="Times New Roman" w:eastAsia="Times New Roman" w:cs="Times New Roman"/>
          <w:b w:val="0"/>
          <w:i w:val="0"/>
          <w:color w:val="auto"/>
          <w:kern w:val="0"/>
          <w:sz w:val="24"/>
          <w:lang w:val="en-US"/>
          <w14:ligatures w14:val="none"/>
        </w:rPr>
        <w:t>’</w:t>
      </w:r>
      <w:r>
        <w:rPr>
          <w:rFonts w:ascii="Times New Roman" w:hAnsi="Times New Roman" w:eastAsia="Times New Roman" w:cs="Times New Roman"/>
          <w:b w:val="0"/>
          <w:i w:val="0"/>
          <w:color w:val="auto"/>
          <w:kern w:val="0"/>
          <w:sz w:val="24"/>
          <w:lang w:val="en-US"/>
          <w14:ligatures w14:val="none"/>
        </w:rPr>
        <w:t>s seven hypotheses, including the mediating role of fraud prevention set out in Objective 3 above.</w:t>
      </w:r>
    </w:p>
    <w:p w14:paraId="1E8F536F">
      <w:pPr>
        <w:widowControl/>
        <w:suppressAutoHyphens/>
        <w:bidi w:val="0"/>
        <w:spacing w:before="280" w:after="24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9" w:name="__RefHeading___Toc3592_3370473891"/>
      <w:bookmarkEnd w:id="9"/>
      <w:r>
        <w:rPr>
          <w:rFonts w:ascii="Times New Roman" w:hAnsi="Times New Roman" w:eastAsia="Times New Roman" w:cs="Times New Roman"/>
          <w:b/>
          <w:bCs/>
          <w:i w:val="0"/>
          <w:color w:val="000000"/>
          <w:kern w:val="0"/>
          <w:sz w:val="24"/>
          <w:szCs w:val="28"/>
          <w:lang w:val="en-US" w:eastAsia="en-US" w:bidi="ar-SA"/>
          <w14:ligatures w14:val="none"/>
        </w:rPr>
        <w:t>Organisation of the study</w:t>
      </w:r>
    </w:p>
    <w:p w14:paraId="74DEB996">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The</w:t>
      </w:r>
      <w:r>
        <w:rPr>
          <w:rFonts w:hint="default" w:ascii="Times New Roman" w:hAnsi="Times New Roman" w:eastAsia="Times New Roman" w:cs="Times New Roman"/>
          <w:b w:val="0"/>
          <w:i w:val="0"/>
          <w:color w:val="auto"/>
          <w:kern w:val="0"/>
          <w:sz w:val="24"/>
          <w:lang w:val="en-US"/>
          <w14:ligatures w14:val="none"/>
        </w:rPr>
        <w:t xml:space="preserve"> has</w:t>
      </w:r>
      <w:r>
        <w:rPr>
          <w:rFonts w:ascii="Times New Roman" w:hAnsi="Times New Roman" w:eastAsia="Times New Roman" w:cs="Times New Roman"/>
          <w:b w:val="0"/>
          <w:i w:val="0"/>
          <w:color w:val="auto"/>
          <w:kern w:val="0"/>
          <w:sz w:val="24"/>
          <w:lang w:val="en-US"/>
          <w14:ligatures w14:val="none"/>
        </w:rPr>
        <w:t xml:space="preserve"> five chapters. Chapter </w:t>
      </w:r>
      <w:r>
        <w:rPr>
          <w:rFonts w:hint="default" w:ascii="Times New Roman" w:hAnsi="Times New Roman" w:eastAsia="Times New Roman" w:cs="Times New Roman"/>
          <w:b w:val="0"/>
          <w:i w:val="0"/>
          <w:color w:val="auto"/>
          <w:kern w:val="0"/>
          <w:sz w:val="24"/>
          <w:lang w:val="en-US"/>
          <w14:ligatures w14:val="none"/>
        </w:rPr>
        <w:t>o</w:t>
      </w:r>
      <w:r>
        <w:rPr>
          <w:rFonts w:ascii="Times New Roman" w:hAnsi="Times New Roman" w:eastAsia="Times New Roman" w:cs="Times New Roman"/>
          <w:b w:val="0"/>
          <w:i w:val="0"/>
          <w:color w:val="auto"/>
          <w:kern w:val="0"/>
          <w:sz w:val="24"/>
          <w:lang w:val="en-US"/>
          <w14:ligatures w14:val="none"/>
        </w:rPr>
        <w:t xml:space="preserve">ne presents the background of the study, problem statement, objectives, research questions, significance, delimitation and organisation of the study. Chapter </w:t>
      </w:r>
      <w:r>
        <w:rPr>
          <w:rFonts w:hint="default" w:ascii="Times New Roman" w:hAnsi="Times New Roman" w:eastAsia="Times New Roman" w:cs="Times New Roman"/>
          <w:b w:val="0"/>
          <w:i w:val="0"/>
          <w:color w:val="auto"/>
          <w:kern w:val="0"/>
          <w:sz w:val="24"/>
          <w:lang w:val="en-US"/>
          <w14:ligatures w14:val="none"/>
        </w:rPr>
        <w:t>t</w:t>
      </w:r>
      <w:r>
        <w:rPr>
          <w:rFonts w:ascii="Times New Roman" w:hAnsi="Times New Roman" w:eastAsia="Times New Roman" w:cs="Times New Roman"/>
          <w:b w:val="0"/>
          <w:i w:val="0"/>
          <w:color w:val="auto"/>
          <w:kern w:val="0"/>
          <w:sz w:val="24"/>
          <w:lang w:val="en-US"/>
          <w14:ligatures w14:val="none"/>
        </w:rPr>
        <w:t xml:space="preserve">wo reviews the relevant literature. Chapter </w:t>
      </w:r>
      <w:r>
        <w:rPr>
          <w:rFonts w:hint="default" w:ascii="Times New Roman" w:hAnsi="Times New Roman" w:eastAsia="Times New Roman" w:cs="Times New Roman"/>
          <w:b w:val="0"/>
          <w:i w:val="0"/>
          <w:color w:val="auto"/>
          <w:kern w:val="0"/>
          <w:sz w:val="24"/>
          <w:lang w:val="en-US"/>
          <w14:ligatures w14:val="none"/>
        </w:rPr>
        <w:t>t</w:t>
      </w:r>
      <w:r>
        <w:rPr>
          <w:rFonts w:ascii="Times New Roman" w:hAnsi="Times New Roman" w:eastAsia="Times New Roman" w:cs="Times New Roman"/>
          <w:b w:val="0"/>
          <w:i w:val="0"/>
          <w:color w:val="auto"/>
          <w:kern w:val="0"/>
          <w:sz w:val="24"/>
          <w:lang w:val="en-US"/>
          <w14:ligatures w14:val="none"/>
        </w:rPr>
        <w:t xml:space="preserve">hree details the research methods, sampling procedures and data collection approach. Chapter </w:t>
      </w:r>
      <w:r>
        <w:rPr>
          <w:rFonts w:hint="default" w:ascii="Times New Roman" w:hAnsi="Times New Roman" w:eastAsia="Times New Roman" w:cs="Times New Roman"/>
          <w:b w:val="0"/>
          <w:i w:val="0"/>
          <w:color w:val="auto"/>
          <w:kern w:val="0"/>
          <w:sz w:val="24"/>
          <w:lang w:val="en-US"/>
          <w14:ligatures w14:val="none"/>
        </w:rPr>
        <w:t>f</w:t>
      </w:r>
      <w:r>
        <w:rPr>
          <w:rFonts w:ascii="Times New Roman" w:hAnsi="Times New Roman" w:eastAsia="Times New Roman" w:cs="Times New Roman"/>
          <w:b w:val="0"/>
          <w:i w:val="0"/>
          <w:color w:val="auto"/>
          <w:kern w:val="0"/>
          <w:sz w:val="24"/>
          <w:lang w:val="en-US"/>
          <w14:ligatures w14:val="none"/>
        </w:rPr>
        <w:t xml:space="preserve">our </w:t>
      </w:r>
      <w:r>
        <w:rPr>
          <w:rFonts w:hint="default" w:ascii="Times New Roman" w:hAnsi="Times New Roman" w:eastAsia="Times New Roman" w:cs="Times New Roman"/>
          <w:b w:val="0"/>
          <w:i w:val="0"/>
          <w:color w:val="auto"/>
          <w:kern w:val="0"/>
          <w:sz w:val="24"/>
          <w:lang w:val="en-US"/>
          <w14:ligatures w14:val="none"/>
        </w:rPr>
        <w:t>entails data</w:t>
      </w:r>
      <w:r>
        <w:rPr>
          <w:rFonts w:ascii="Times New Roman" w:hAnsi="Times New Roman" w:eastAsia="Times New Roman" w:cs="Times New Roman"/>
          <w:b w:val="0"/>
          <w:i w:val="0"/>
          <w:color w:val="auto"/>
          <w:kern w:val="0"/>
          <w:sz w:val="24"/>
          <w:lang w:val="en-US"/>
          <w14:ligatures w14:val="none"/>
        </w:rPr>
        <w:t xml:space="preserve"> analys</w:t>
      </w:r>
      <w:r>
        <w:rPr>
          <w:rFonts w:hint="default" w:ascii="Times New Roman" w:hAnsi="Times New Roman" w:eastAsia="Times New Roman" w:cs="Times New Roman"/>
          <w:b w:val="0"/>
          <w:i w:val="0"/>
          <w:color w:val="auto"/>
          <w:kern w:val="0"/>
          <w:sz w:val="24"/>
          <w:lang w:val="en-US"/>
          <w14:ligatures w14:val="none"/>
        </w:rPr>
        <w:t>i</w:t>
      </w:r>
      <w:r>
        <w:rPr>
          <w:rFonts w:ascii="Times New Roman" w:hAnsi="Times New Roman" w:eastAsia="Times New Roman" w:cs="Times New Roman"/>
          <w:b w:val="0"/>
          <w:i w:val="0"/>
          <w:color w:val="auto"/>
          <w:kern w:val="0"/>
          <w:sz w:val="24"/>
          <w:lang w:val="en-US"/>
          <w14:ligatures w14:val="none"/>
        </w:rPr>
        <w:t>s</w:t>
      </w:r>
      <w:r>
        <w:rPr>
          <w:rFonts w:hint="default" w:ascii="Times New Roman" w:hAnsi="Times New Roman" w:eastAsia="Times New Roman" w:cs="Times New Roman"/>
          <w:b w:val="0"/>
          <w:i w:val="0"/>
          <w:color w:val="auto"/>
          <w:kern w:val="0"/>
          <w:sz w:val="24"/>
          <w:lang w:val="en-US"/>
          <w14:ligatures w14:val="none"/>
        </w:rPr>
        <w:t xml:space="preserve"> reusls and discussion</w:t>
      </w:r>
      <w:r>
        <w:rPr>
          <w:rFonts w:ascii="Times New Roman" w:hAnsi="Times New Roman" w:eastAsia="Times New Roman" w:cs="Times New Roman"/>
          <w:b w:val="0"/>
          <w:i w:val="0"/>
          <w:color w:val="auto"/>
          <w:kern w:val="0"/>
          <w:sz w:val="24"/>
          <w:lang w:val="en-US"/>
          <w14:ligatures w14:val="none"/>
        </w:rPr>
        <w:t>. Chapter</w:t>
      </w:r>
      <w:r>
        <w:rPr>
          <w:rFonts w:hint="default" w:ascii="Times New Roman" w:hAnsi="Times New Roman" w:eastAsia="Times New Roman" w:cs="Times New Roman"/>
          <w:b w:val="0"/>
          <w:i w:val="0"/>
          <w:color w:val="auto"/>
          <w:kern w:val="0"/>
          <w:sz w:val="24"/>
          <w:lang w:val="en-US"/>
          <w14:ligatures w14:val="none"/>
        </w:rPr>
        <w:t xml:space="preserve"> f</w:t>
      </w:r>
      <w:r>
        <w:rPr>
          <w:rFonts w:ascii="Times New Roman" w:hAnsi="Times New Roman" w:eastAsia="Times New Roman" w:cs="Times New Roman"/>
          <w:b w:val="0"/>
          <w:i w:val="0"/>
          <w:color w:val="auto"/>
          <w:kern w:val="0"/>
          <w:sz w:val="24"/>
          <w:lang w:val="en-US"/>
          <w14:ligatures w14:val="none"/>
        </w:rPr>
        <w:t xml:space="preserve">ive </w:t>
      </w:r>
      <w:r>
        <w:rPr>
          <w:rFonts w:ascii="Times New Roman" w:hAnsi="Times New Roman" w:eastAsia="Times New Roman" w:cs="Times New Roman"/>
          <w:color w:val="auto"/>
          <w:kern w:val="0"/>
          <w:sz w:val="24"/>
          <w:szCs w:val="24"/>
          <w:lang w:val="en-US"/>
          <w14:ligatures w14:val="none"/>
        </w:rPr>
        <w:t xml:space="preserve">presents the summary and conclusions, recommendations and limitations of study as well as directions for future research. </w:t>
      </w:r>
    </w:p>
    <w:p w14:paraId="46378362">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bookmarkStart w:id="10" w:name="__RefHeading___Toc3594_3370473891"/>
      <w:bookmarkEnd w:id="10"/>
    </w:p>
    <w:p w14:paraId="6BB39F10">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0A33FC97">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05B062C9">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04740B5A">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0A52922E">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6F3AA886">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0635EF14">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5A85C0D0">
      <w:pPr>
        <w:widowControl/>
        <w:suppressAutoHyphens/>
        <w:bidi w:val="0"/>
        <w:spacing w:before="280" w:after="20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p>
    <w:p w14:paraId="4241782A">
      <w:pPr>
        <w:widowControl/>
        <w:suppressAutoHyphens/>
        <w:bidi w:val="0"/>
        <w:spacing w:before="280" w:after="20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p>
    <w:p w14:paraId="3B1AA20A">
      <w:pPr>
        <w:widowControl/>
        <w:suppressAutoHyphens/>
        <w:bidi w:val="0"/>
        <w:spacing w:before="280" w:after="200" w:line="48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p>
    <w:p w14:paraId="1EB71A7C">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r>
        <w:rPr>
          <w:rFonts w:ascii="Times New Roman" w:hAnsi="Times New Roman" w:eastAsia="Times New Roman" w:cs="Times New Roman"/>
          <w:b/>
          <w:bCs/>
          <w:color w:val="000000"/>
          <w:kern w:val="0"/>
          <w:sz w:val="28"/>
          <w:szCs w:val="28"/>
          <w:lang w:val="en-US" w:eastAsia="en-US" w:bidi="ar-SA"/>
          <w14:ligatures w14:val="none"/>
        </w:rPr>
        <w:t>CHAPTER TWO</w:t>
      </w:r>
    </w:p>
    <w:p w14:paraId="51ABFF78">
      <w:pPr>
        <w:widowControl/>
        <w:suppressAutoHyphens/>
        <w:bidi w:val="0"/>
        <w:spacing w:before="280" w:after="20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bookmarkStart w:id="11" w:name="__RefHeading___Toc3596_3370473891"/>
      <w:bookmarkEnd w:id="11"/>
      <w:r>
        <w:rPr>
          <w:rFonts w:ascii="Times New Roman" w:hAnsi="Times New Roman" w:eastAsia="Times New Roman" w:cs="Times New Roman"/>
          <w:b/>
          <w:bCs/>
          <w:color w:val="000000"/>
          <w:kern w:val="0"/>
          <w:sz w:val="28"/>
          <w:szCs w:val="28"/>
          <w:lang w:val="en-US" w:eastAsia="en-US" w:bidi="ar-SA"/>
          <w14:ligatures w14:val="none"/>
        </w:rPr>
        <w:t>LITERATURE REVIEW</w:t>
      </w:r>
    </w:p>
    <w:p w14:paraId="097209E1">
      <w:pPr>
        <w:widowControl/>
        <w:suppressAutoHyphens/>
        <w:bidi w:val="0"/>
        <w:spacing w:before="280" w:after="140" w:line="480" w:lineRule="auto"/>
        <w:jc w:val="both"/>
        <w:outlineLvl w:val="0"/>
        <w:rPr>
          <w:rFonts w:ascii="Times New Roman" w:hAnsi="Times New Roman" w:eastAsia="Times New Roman" w:cs="Times New Roman"/>
          <w:b/>
          <w:bCs/>
          <w:color w:val="000000"/>
          <w:kern w:val="0"/>
          <w:sz w:val="24"/>
          <w:szCs w:val="24"/>
          <w:lang w:val="en-US" w:eastAsia="en-US" w:bidi="ar-SA"/>
          <w14:ligatures w14:val="none"/>
        </w:rPr>
      </w:pPr>
      <w:bookmarkStart w:id="12" w:name="__RefHeading___Toc3598_3370473891"/>
      <w:bookmarkEnd w:id="12"/>
      <w:r>
        <w:rPr>
          <w:rFonts w:ascii="Times New Roman" w:hAnsi="Times New Roman" w:eastAsia="Times New Roman" w:cs="Times New Roman"/>
          <w:b/>
          <w:bCs/>
          <w:color w:val="000000"/>
          <w:kern w:val="0"/>
          <w:sz w:val="24"/>
          <w:szCs w:val="24"/>
          <w:lang w:val="en-US" w:eastAsia="en-US" w:bidi="ar-SA"/>
          <w14:ligatures w14:val="none"/>
        </w:rPr>
        <w:t>Introduction</w:t>
      </w:r>
    </w:p>
    <w:p w14:paraId="358F855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bookmarkStart w:id="13" w:name="__RefHeading___Toc3600_3370473891"/>
      <w:bookmarkEnd w:id="13"/>
      <w:r>
        <w:rPr>
          <w:rFonts w:ascii="Times New Roman" w:hAnsi="Times New Roman" w:eastAsia="Times New Roman" w:cs="Times New Roman"/>
          <w:color w:val="auto"/>
          <w:kern w:val="0"/>
          <w:lang w:val="en-US"/>
          <w14:ligatures w14:val="none"/>
        </w:rPr>
        <w:t>This chapter focuses on the review of</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 xml:space="preserve"> theoretical and empirical literature that relates to the topic and provides a review of the concepts and a framework to explain the relationships between the variables. The theories underpinning the study are also analysed. The chapter is further divided into four major parts that include conceptual definitions, a theoretical framework describing the constructs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and the theories that guide the study, a conceptual framework of the study, and the formulation of the hypotheses.</w:t>
      </w:r>
    </w:p>
    <w:p w14:paraId="48A9C0DB">
      <w:pPr>
        <w:widowControl/>
        <w:suppressAutoHyphens/>
        <w:bidi w:val="0"/>
        <w:spacing w:before="280" w:after="140" w:line="480" w:lineRule="auto"/>
        <w:jc w:val="both"/>
        <w:outlineLvl w:val="0"/>
        <w:rPr>
          <w:rFonts w:ascii="Times New Roman" w:hAnsi="Times New Roman" w:eastAsia="Times New Roman" w:cs="Times New Roman"/>
          <w:b/>
          <w:bCs/>
          <w:color w:val="000000"/>
          <w:kern w:val="0"/>
          <w:sz w:val="24"/>
          <w:szCs w:val="24"/>
          <w:lang w:val="en-US" w:eastAsia="en-US" w:bidi="ar-SA"/>
          <w14:ligatures w14:val="none"/>
        </w:rPr>
      </w:pPr>
      <w:r>
        <w:rPr>
          <w:rFonts w:ascii="Times New Roman" w:hAnsi="Times New Roman" w:eastAsia="Times New Roman" w:cs="Times New Roman"/>
          <w:b/>
          <w:bCs/>
          <w:color w:val="000000"/>
          <w:kern w:val="0"/>
          <w:sz w:val="24"/>
          <w:szCs w:val="24"/>
          <w:lang w:val="en-US" w:eastAsia="en-US" w:bidi="ar-SA"/>
          <w14:ligatures w14:val="none"/>
        </w:rPr>
        <w:t>Definition and review of concepts</w:t>
      </w:r>
    </w:p>
    <w:p w14:paraId="1A01D5A7">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14" w:name="__RefHeading___Toc3602_3370473891"/>
      <w:bookmarkEnd w:id="14"/>
      <w:r>
        <w:rPr>
          <w:rFonts w:ascii="Times New Roman" w:hAnsi="Times New Roman" w:eastAsia="Times New Roman" w:cs="Times New Roman"/>
          <w:b w:val="0"/>
          <w:bCs w:val="0"/>
          <w:color w:val="000000"/>
          <w:kern w:val="0"/>
          <w:sz w:val="24"/>
          <w:szCs w:val="24"/>
          <w:lang w:val="en-US" w:eastAsia="en-US" w:bidi="ar-SA"/>
          <w14:ligatures w14:val="none"/>
        </w:rPr>
        <w:t>Corporate governance</w:t>
      </w:r>
    </w:p>
    <w:p w14:paraId="7997E82C">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concept of corporate governance has gained a lot of scholarly and regulatory attention in the last</w:t>
      </w:r>
      <w:r>
        <w:rPr>
          <w:rFonts w:hint="default" w:ascii="Times New Roman" w:hAnsi="Times New Roman" w:eastAsia="Times New Roman" w:cs="Times New Roman"/>
          <w:color w:val="auto"/>
          <w:kern w:val="0"/>
          <w:lang w:val="en-US"/>
          <w14:ligatures w14:val="none"/>
        </w:rPr>
        <w:t xml:space="preserve"> three decades</w:t>
      </w:r>
      <w:r>
        <w:rPr>
          <w:rFonts w:ascii="Times New Roman" w:hAnsi="Times New Roman" w:eastAsia="Times New Roman" w:cs="Times New Roman"/>
          <w:color w:val="auto"/>
          <w:kern w:val="0"/>
          <w:lang w:val="en-US"/>
          <w14:ligatures w14:val="none"/>
        </w:rPr>
        <w:t>, especially after the events of</w:t>
      </w:r>
      <w:r>
        <w:rPr>
          <w:rFonts w:hint="default" w:ascii="Times New Roman" w:hAnsi="Times New Roman" w:eastAsia="Times New Roman" w:cs="Times New Roman"/>
          <w:color w:val="auto"/>
          <w:kern w:val="0"/>
          <w:lang w:val="en-US"/>
          <w14:ligatures w14:val="none"/>
        </w:rPr>
        <w:t xml:space="preserve"> the</w:t>
      </w:r>
      <w:r>
        <w:rPr>
          <w:rFonts w:ascii="Times New Roman" w:hAnsi="Times New Roman" w:eastAsia="Times New Roman" w:cs="Times New Roman"/>
          <w:color w:val="auto"/>
          <w:kern w:val="0"/>
          <w:lang w:val="en-US"/>
          <w14:ligatures w14:val="none"/>
        </w:rPr>
        <w:t xml:space="preserve"> big corporate scandals and financial crises, which exposed serious flaws in the way organisations are led and managed (Sooch, 2023). Corporate governance in its simplest definition can be taken to refer to the rules, practices, structures, and processes that regulate how a firm is directed and controlled (Celestin et al., 2026). It entails the processes by which organisations develop responsibility to their stakeholders, transparency of their operations, and safeguarding against the misuse of power by those in authority. According to Celestin (2015), corporate governance is defined as the model that combines board independence, audit committee control, and compliance with risk management to highlight gaps in systemic governance weaknesses to avoid financial misstatements. Similarly, Sooch (2023) conceptualises corporate governance as a fit between corporate leadership aims and the interests of the broader stakeholder group of an organisation, facilitated by well-organised oversight and accountability systems.</w:t>
      </w:r>
    </w:p>
    <w:p w14:paraId="407C1EE8">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 xml:space="preserve">The importance of corporate governance cannot be understated. </w:t>
      </w:r>
      <w:r>
        <w:rPr>
          <w:rFonts w:ascii="Times New Roman" w:hAnsi="Times New Roman" w:eastAsia="Times New Roman" w:cs="Times New Roman"/>
          <w:color w:val="auto"/>
          <w:kern w:val="0"/>
          <w:lang w:val="en-US"/>
          <w14:ligatures w14:val="none"/>
        </w:rPr>
        <w:t>Since the collapse of large organisations across the world and the subsequent collapse of the Ghanaian banking sector in 2018, which revealed deep-seated failures in board oversight, internal controls, and regulatory compliance in various financial institutions, the strategic value of governance is now no longer merely a regulatory compliance matter but a key pillar of organisational sustainability (Torku and Laryea, 2021; Musah et al., 2022). Manginte (2024) reasons that strong corporate governance systems are inherently connected to transparency and value generation over the long term, and finds that introducing governance perspectives into the internal workings of organisations is one way to build comprehensive systems that facilitate accountability and ethical behaviour. Kulmie and Ibrahim (2024) also demonstrate that effective corporate governance provides a defence against fraud, since weak corporate governance, on the other hand, provides enough space for illegal behaviour to establish and thrive.</w:t>
      </w:r>
    </w:p>
    <w:p w14:paraId="31176CEF">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There are a number of mechanisms that determine how corporate governance works in practice. At the structural level, governance is manifested by the structure and independence of the board of directors, the presence and effective work of the board committees, especially the audit and risk committees, and the transparency of reporting lines and the organisational hierarchy</w:t>
      </w:r>
      <w:r>
        <w:rPr>
          <w:rFonts w:hint="default" w:ascii="Times New Roman" w:hAnsi="Times New Roman" w:eastAsia="Times New Roman" w:cs="Times New Roman"/>
          <w:color w:val="auto"/>
          <w:kern w:val="0"/>
          <w:lang w:val="en-US"/>
          <w14:ligatures w14:val="none"/>
        </w:rPr>
        <w:t xml:space="preserve"> (Ntim, 2020)</w:t>
      </w:r>
      <w:r>
        <w:rPr>
          <w:rFonts w:ascii="Times New Roman" w:hAnsi="Times New Roman" w:eastAsia="Times New Roman" w:cs="Times New Roman"/>
          <w:color w:val="auto"/>
          <w:kern w:val="0"/>
          <w:lang w:val="en-US"/>
          <w14:ligatures w14:val="none"/>
        </w:rPr>
        <w:t>. At the process level, governance manifests itself in strategic planning activities, the establishment and renewal of terms of reference of the board, the establishment and oversight of performance targets, and the processes and channels through which major decisions are communicated to personnel at all levels of the organisation</w:t>
      </w:r>
      <w:r>
        <w:rPr>
          <w:rFonts w:hint="default" w:ascii="Times New Roman" w:hAnsi="Times New Roman" w:eastAsia="Times New Roman" w:cs="Times New Roman"/>
          <w:color w:val="auto"/>
          <w:kern w:val="0"/>
          <w:lang w:val="en-US"/>
          <w14:ligatures w14:val="none"/>
        </w:rPr>
        <w:t xml:space="preserve"> (Solomon, 2020)</w:t>
      </w:r>
      <w:r>
        <w:rPr>
          <w:rFonts w:ascii="Times New Roman" w:hAnsi="Times New Roman" w:eastAsia="Times New Roman" w:cs="Times New Roman"/>
          <w:color w:val="auto"/>
          <w:kern w:val="0"/>
          <w:lang w:val="en-US"/>
          <w14:ligatures w14:val="none"/>
        </w:rPr>
        <w:t>. At the behavioural level, governance is conveyed by codes of conduct, the extent to which ethical behaviour is promoted and rewarded, and the extent to which employees feel free to report illegal or wasteful operations without fear of punishment (Rehman and Hashim, 2020; Hakki et al., 2025).</w:t>
      </w:r>
    </w:p>
    <w:p w14:paraId="22DBEF95">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nature of legislation and regulatory principles applied in Ghana has created a framework of corporate governance that has been reinforced to achieve its current strength following the banking crisis of 2018. Governance of all registered companies is given a legal basis by the Companies Act, 2019 (Act 992). Listed entities are subject to the Securities Industry Act, 2016 (Act 929). The Bank of Ghana Corporate Governance Directive (2018) provides industry-specific governance principles to banks and other financial institutions. These statutory provisions are further enhanced by the listing rules of the Ghana Stock Exchange. Combined, these instruments form a regulatory environment that requires organisations to undertake formal governance structures. Nonetheless, according to Ssimbwa and Ampaire (2026), in a study of Ugandan financial institutions, there is usually a wide gap between formal governance compliance and its substantive practice, which directly applies to the Ghanaian scenario as well as to the question that this research seeks to answer.</w:t>
      </w:r>
    </w:p>
    <w:p w14:paraId="38786396">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15" w:name="__RefHeading___Toc3604_3370473891"/>
      <w:bookmarkEnd w:id="15"/>
      <w:r>
        <w:rPr>
          <w:rFonts w:ascii="Times New Roman" w:hAnsi="Times New Roman" w:eastAsia="Times New Roman" w:cs="Times New Roman"/>
          <w:b w:val="0"/>
          <w:bCs w:val="0"/>
          <w:color w:val="000000"/>
          <w:kern w:val="0"/>
          <w:sz w:val="24"/>
          <w:szCs w:val="24"/>
          <w:lang w:val="en-US" w:eastAsia="en-US" w:bidi="ar-SA"/>
          <w14:ligatures w14:val="none"/>
        </w:rPr>
        <w:t>Board of directors</w:t>
      </w:r>
    </w:p>
    <w:p w14:paraId="6BC03C2C">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board of directors has always been considered the highest governing body in every organisation. The ultimate responsibility of the board is to provide strategic direction, to supervise management, ensure that the interests of shareholders and other stakeholders are prioritised, and to ensure that organisational practices are within the limits of existing laws and ethical standards. A study by Celestin et al. (2026) on 42 companies in Ghana across banking, manufacturing and telecommunications found a strong positive correlation between the quality of governance and the performance of firms, and established that board independence significantly enhances financial oversight and organisational performance. Based on a systematic review of twenty articles, Kulmie and Ibrahim (2024) discovered that the most effective governance deterrents in the banking sector in relation to fraud detection are board oversight and audit committee expertise.</w:t>
      </w:r>
    </w:p>
    <w:p w14:paraId="27FF4D6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Board effectiveness is related not only to its composition but also to the level of active and substantive oversight exercised by the board. Boards with clear terms of reference are better at holding management to account and translating governance principles into operational realities (Sooch, 2023; Ofori et al., 2025)</w:t>
      </w:r>
      <w:r>
        <w:rPr>
          <w:rFonts w:hint="default" w:ascii="Times New Roman" w:hAnsi="Times New Roman" w:eastAsia="Times New Roman" w:cs="Times New Roman"/>
          <w:color w:val="auto"/>
          <w:kern w:val="0"/>
          <w:lang w:val="en-US"/>
          <w14:ligatures w14:val="none"/>
        </w:rPr>
        <w:t xml:space="preserve">. The 2018 banking sector crises exposed the consequences of boards not performing their role with clear terms such as having an </w:t>
      </w:r>
      <w:r>
        <w:rPr>
          <w:rFonts w:ascii="Times New Roman" w:hAnsi="Times New Roman" w:eastAsia="Times New Roman" w:cs="Times New Roman"/>
          <w:color w:val="auto"/>
          <w:kern w:val="0"/>
          <w:lang w:val="en-US"/>
          <w14:ligatures w14:val="none"/>
        </w:rPr>
        <w:t>annual performance targets</w:t>
      </w:r>
      <w:r>
        <w:rPr>
          <w:rFonts w:hint="default" w:ascii="Times New Roman" w:hAnsi="Times New Roman" w:eastAsia="Times New Roman" w:cs="Times New Roman"/>
          <w:color w:val="auto"/>
          <w:kern w:val="0"/>
          <w:lang w:val="en-US"/>
          <w14:ligatures w14:val="none"/>
        </w:rPr>
        <w:t xml:space="preserve"> and ensuring important decisions are clearly communicated to employees at all levels (</w:t>
      </w:r>
      <w:r>
        <w:rPr>
          <w:rFonts w:ascii="Times New Roman" w:hAnsi="Times New Roman" w:eastAsia="Times New Roman" w:cs="Times New Roman"/>
          <w:color w:val="auto"/>
          <w:kern w:val="0"/>
          <w:lang w:val="en-US"/>
          <w14:ligatures w14:val="none"/>
        </w:rPr>
        <w:t>Ofori et al., 2025</w:t>
      </w:r>
      <w:r>
        <w:rPr>
          <w:rFonts w:hint="default" w:ascii="Times New Roman" w:hAnsi="Times New Roman" w:eastAsia="Times New Roman" w:cs="Times New Roman"/>
          <w:color w:val="auto"/>
          <w:kern w:val="0"/>
          <w:lang w:val="en-US"/>
          <w14:ligatures w14:val="none"/>
        </w:rPr>
        <w:t xml:space="preserve">). Amount to </w:t>
      </w:r>
      <w:r>
        <w:rPr>
          <w:rFonts w:ascii="Times New Roman" w:hAnsi="Times New Roman" w:eastAsia="Times New Roman" w:cs="Times New Roman"/>
          <w:color w:val="auto"/>
          <w:kern w:val="0"/>
          <w:lang w:val="en-US"/>
          <w14:ligatures w14:val="none"/>
        </w:rPr>
        <w:t>excessive risk-taking, weak internal controls, and fraud in the industry were tolerated over a very long period because board supervision was either non-existent or overruled by powerful insiders (Torku and Laryea, 2021).</w:t>
      </w:r>
    </w:p>
    <w:p w14:paraId="7F6FD406">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16" w:name="__RefHeading___Toc3606_3370473891"/>
      <w:bookmarkEnd w:id="16"/>
      <w:r>
        <w:rPr>
          <w:rFonts w:ascii="Times New Roman" w:hAnsi="Times New Roman" w:eastAsia="Times New Roman" w:cs="Times New Roman"/>
          <w:b w:val="0"/>
          <w:bCs w:val="0"/>
          <w:color w:val="000000"/>
          <w:kern w:val="0"/>
          <w:sz w:val="24"/>
          <w:szCs w:val="24"/>
          <w:lang w:val="en-US" w:eastAsia="en-US" w:bidi="ar-SA"/>
          <w14:ligatures w14:val="none"/>
        </w:rPr>
        <w:t>Strategic management and code of conduct</w:t>
      </w:r>
    </w:p>
    <w:p w14:paraId="65C8EF6C">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E</w:t>
      </w:r>
      <w:r>
        <w:rPr>
          <w:rFonts w:ascii="Times New Roman" w:hAnsi="Times New Roman" w:eastAsia="Times New Roman" w:cs="Times New Roman"/>
          <w:color w:val="auto"/>
          <w:kern w:val="0"/>
          <w:lang w:val="en-US"/>
          <w14:ligatures w14:val="none"/>
        </w:rPr>
        <w:t>ffective corporate governance requires</w:t>
      </w:r>
      <w:r>
        <w:rPr>
          <w:rFonts w:hint="default" w:ascii="Times New Roman" w:hAnsi="Times New Roman" w:eastAsia="Times New Roman" w:cs="Times New Roman"/>
          <w:color w:val="auto"/>
          <w:kern w:val="0"/>
          <w:lang w:val="en-US"/>
          <w14:ligatures w14:val="none"/>
        </w:rPr>
        <w:t xml:space="preserve"> strategic direction in  the organisation. S</w:t>
      </w:r>
      <w:r>
        <w:rPr>
          <w:rFonts w:ascii="Times New Roman" w:hAnsi="Times New Roman" w:eastAsia="Times New Roman" w:cs="Times New Roman"/>
          <w:color w:val="auto"/>
          <w:kern w:val="0"/>
          <w:lang w:val="en-US"/>
          <w14:ligatures w14:val="none"/>
        </w:rPr>
        <w:t>trategic management</w:t>
      </w:r>
      <w:r>
        <w:rPr>
          <w:rFonts w:hint="default" w:ascii="Times New Roman" w:hAnsi="Times New Roman" w:eastAsia="Times New Roman" w:cs="Times New Roman"/>
          <w:color w:val="auto"/>
          <w:kern w:val="0"/>
          <w:lang w:val="en-US"/>
          <w14:ligatures w14:val="none"/>
        </w:rPr>
        <w:t xml:space="preserve"> is the establishment of long term structured strategies by top management and the board that are in line with the organisation’s mission.</w:t>
      </w:r>
      <w:r>
        <w:rPr>
          <w:rFonts w:ascii="Times New Roman" w:hAnsi="Times New Roman" w:eastAsia="Times New Roman" w:cs="Times New Roman"/>
          <w:color w:val="auto"/>
          <w:kern w:val="0"/>
          <w:lang w:val="en-US"/>
          <w14:ligatures w14:val="none"/>
        </w:rPr>
        <w:t xml:space="preserve"> Sooch (2023) identified a</w:t>
      </w:r>
      <w:r>
        <w:rPr>
          <w:rFonts w:hint="default" w:ascii="Times New Roman" w:hAnsi="Times New Roman" w:eastAsia="Times New Roman" w:cs="Times New Roman"/>
          <w:color w:val="auto"/>
          <w:kern w:val="0"/>
          <w:lang w:val="en-US"/>
          <w14:ligatures w14:val="none"/>
        </w:rPr>
        <w:t xml:space="preserve"> link</w:t>
      </w:r>
      <w:r>
        <w:rPr>
          <w:rFonts w:ascii="Times New Roman" w:hAnsi="Times New Roman" w:eastAsia="Times New Roman" w:cs="Times New Roman"/>
          <w:color w:val="auto"/>
          <w:kern w:val="0"/>
          <w:lang w:val="en-US"/>
          <w14:ligatures w14:val="none"/>
        </w:rPr>
        <w:t xml:space="preserve"> between corporate governance goals and organisational strategy as one of the most effective predictors of excellent performance results, implying that governance creates the most value when it is truly a part of strategic planning, and not simply a compliance activity.</w:t>
      </w:r>
    </w:p>
    <w:p w14:paraId="2E0E9342">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According to Herawaty et al. (2025), organisations </w:t>
      </w:r>
      <w:r>
        <w:rPr>
          <w:rFonts w:hint="default" w:ascii="Times New Roman" w:hAnsi="Times New Roman" w:eastAsia="Times New Roman" w:cs="Times New Roman"/>
          <w:color w:val="auto"/>
          <w:kern w:val="0"/>
          <w:lang w:val="en-US"/>
          <w14:ligatures w14:val="none"/>
        </w:rPr>
        <w:t xml:space="preserve">that have stipulated </w:t>
      </w:r>
      <w:r>
        <w:rPr>
          <w:rFonts w:ascii="Times New Roman" w:hAnsi="Times New Roman" w:eastAsia="Times New Roman" w:cs="Times New Roman"/>
          <w:color w:val="auto"/>
          <w:kern w:val="0"/>
          <w:lang w:val="en-US"/>
          <w14:ligatures w14:val="none"/>
        </w:rPr>
        <w:t>ethical</w:t>
      </w:r>
      <w:r>
        <w:rPr>
          <w:rFonts w:hint="default" w:ascii="Times New Roman" w:hAnsi="Times New Roman" w:eastAsia="Times New Roman" w:cs="Times New Roman"/>
          <w:color w:val="auto"/>
          <w:kern w:val="0"/>
          <w:lang w:val="en-US"/>
          <w14:ligatures w14:val="none"/>
        </w:rPr>
        <w:t xml:space="preserve"> standard</w:t>
      </w:r>
      <w:r>
        <w:rPr>
          <w:rFonts w:ascii="Times New Roman" w:hAnsi="Times New Roman" w:eastAsia="Times New Roman" w:cs="Times New Roman"/>
          <w:color w:val="auto"/>
          <w:kern w:val="0"/>
          <w:lang w:val="en-US"/>
          <w14:ligatures w14:val="none"/>
        </w:rPr>
        <w:t xml:space="preserve"> have significantly superior results in fraud prevention and the support of stakeholder. Sarmigi and Wahyuni (2025)</w:t>
      </w:r>
      <w:r>
        <w:rPr>
          <w:rFonts w:hint="default" w:ascii="Times New Roman" w:hAnsi="Times New Roman" w:eastAsia="Times New Roman" w:cs="Times New Roman"/>
          <w:color w:val="auto"/>
          <w:kern w:val="0"/>
          <w:lang w:val="en-US"/>
          <w14:ligatures w14:val="none"/>
        </w:rPr>
        <w:t xml:space="preserve"> also</w:t>
      </w:r>
      <w:r>
        <w:rPr>
          <w:rFonts w:ascii="Times New Roman" w:hAnsi="Times New Roman" w:eastAsia="Times New Roman" w:cs="Times New Roman"/>
          <w:color w:val="auto"/>
          <w:kern w:val="0"/>
          <w:lang w:val="en-US"/>
          <w14:ligatures w14:val="none"/>
        </w:rPr>
        <w:t xml:space="preserve"> reported that</w:t>
      </w:r>
      <w:r>
        <w:rPr>
          <w:rFonts w:hint="default" w:ascii="Times New Roman" w:hAnsi="Times New Roman" w:eastAsia="Times New Roman" w:cs="Times New Roman"/>
          <w:color w:val="auto"/>
          <w:kern w:val="0"/>
          <w:lang w:val="en-US"/>
          <w14:ligatures w14:val="none"/>
        </w:rPr>
        <w:t xml:space="preserve"> organisational culture shapes </w:t>
      </w:r>
      <w:r>
        <w:rPr>
          <w:rFonts w:ascii="Times New Roman" w:hAnsi="Times New Roman" w:eastAsia="Times New Roman" w:cs="Times New Roman"/>
          <w:color w:val="auto"/>
          <w:kern w:val="0"/>
          <w:lang w:val="en-US"/>
          <w14:ligatures w14:val="none"/>
        </w:rPr>
        <w:t xml:space="preserve"> fraud prevention and organisational performance.</w:t>
      </w:r>
      <w:r>
        <w:rPr>
          <w:rFonts w:hint="default" w:ascii="Times New Roman" w:hAnsi="Times New Roman" w:eastAsia="Times New Roman" w:cs="Times New Roman"/>
          <w:color w:val="auto"/>
          <w:kern w:val="0"/>
          <w:lang w:val="en-US"/>
          <w14:ligatures w14:val="none"/>
        </w:rPr>
        <w:t xml:space="preserve"> T</w:t>
      </w:r>
      <w:r>
        <w:rPr>
          <w:rFonts w:ascii="Times New Roman" w:hAnsi="Times New Roman" w:eastAsia="Times New Roman" w:cs="Times New Roman"/>
          <w:color w:val="auto"/>
          <w:kern w:val="0"/>
          <w:lang w:val="en-US"/>
          <w14:ligatures w14:val="none"/>
        </w:rPr>
        <w:t xml:space="preserve">hese findings </w:t>
      </w:r>
      <w:r>
        <w:rPr>
          <w:rFonts w:hint="default" w:ascii="Times New Roman" w:hAnsi="Times New Roman" w:eastAsia="Times New Roman" w:cs="Times New Roman"/>
          <w:color w:val="auto"/>
          <w:kern w:val="0"/>
          <w:lang w:val="en-US"/>
          <w14:ligatures w14:val="none"/>
        </w:rPr>
        <w:t>proves</w:t>
      </w:r>
      <w:r>
        <w:rPr>
          <w:rFonts w:ascii="Times New Roman" w:hAnsi="Times New Roman" w:eastAsia="Times New Roman" w:cs="Times New Roman"/>
          <w:color w:val="auto"/>
          <w:kern w:val="0"/>
          <w:lang w:val="en-US"/>
          <w14:ligatures w14:val="none"/>
        </w:rPr>
        <w:t xml:space="preserve"> that codes of conduct can</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 xml:space="preserve">function as </w:t>
      </w:r>
      <w:r>
        <w:rPr>
          <w:rFonts w:hint="default" w:ascii="Times New Roman" w:hAnsi="Times New Roman" w:eastAsia="Times New Roman" w:cs="Times New Roman"/>
          <w:color w:val="auto"/>
          <w:kern w:val="0"/>
          <w:lang w:val="en-US"/>
          <w14:ligatures w14:val="none"/>
        </w:rPr>
        <w:t xml:space="preserve">an </w:t>
      </w:r>
      <w:r>
        <w:rPr>
          <w:rFonts w:ascii="Times New Roman" w:hAnsi="Times New Roman" w:eastAsia="Times New Roman" w:cs="Times New Roman"/>
          <w:color w:val="auto"/>
          <w:kern w:val="0"/>
          <w:lang w:val="en-US"/>
          <w14:ligatures w14:val="none"/>
        </w:rPr>
        <w:t>effective</w:t>
      </w:r>
      <w:r>
        <w:rPr>
          <w:rFonts w:hint="default" w:ascii="Times New Roman" w:hAnsi="Times New Roman" w:eastAsia="Times New Roman" w:cs="Times New Roman"/>
          <w:color w:val="auto"/>
          <w:kern w:val="0"/>
          <w:lang w:val="en-US"/>
          <w14:ligatures w14:val="none"/>
        </w:rPr>
        <w:t xml:space="preserve"> tool in corporate</w:t>
      </w:r>
      <w:r>
        <w:rPr>
          <w:rFonts w:ascii="Times New Roman" w:hAnsi="Times New Roman" w:eastAsia="Times New Roman" w:cs="Times New Roman"/>
          <w:color w:val="auto"/>
          <w:kern w:val="0"/>
          <w:lang w:val="en-US"/>
          <w14:ligatures w14:val="none"/>
        </w:rPr>
        <w:t xml:space="preserve"> governance  when they are proactively implemented within the organisation.</w:t>
      </w:r>
    </w:p>
    <w:p w14:paraId="5DA66859">
      <w:pPr>
        <w:widowControl/>
        <w:suppressAutoHyphens/>
        <w:bidi w:val="0"/>
        <w:spacing w:before="220" w:after="100" w:line="480" w:lineRule="auto"/>
        <w:ind w:firstLine="720"/>
        <w:jc w:val="both"/>
        <w:outlineLvl w:val="1"/>
        <w:rPr>
          <w:rFonts w:hint="default" w:ascii="Times New Roman" w:hAnsi="Times New Roman" w:eastAsia="Times New Roman" w:cs="Times New Roman"/>
          <w:b w:val="0"/>
          <w:bCs w:val="0"/>
          <w:color w:val="000000"/>
          <w:kern w:val="0"/>
          <w:sz w:val="24"/>
          <w:szCs w:val="24"/>
          <w:lang w:val="en-US" w:eastAsia="en-US" w:bidi="ar-SA"/>
          <w14:ligatures w14:val="none"/>
        </w:rPr>
      </w:pPr>
      <w:bookmarkStart w:id="17" w:name="__RefHeading___Toc3608_3370473891"/>
      <w:bookmarkEnd w:id="17"/>
      <w:r>
        <w:rPr>
          <w:rFonts w:ascii="Times New Roman" w:hAnsi="Times New Roman" w:eastAsia="Times New Roman" w:cs="Times New Roman"/>
          <w:b w:val="0"/>
          <w:bCs w:val="0"/>
          <w:color w:val="000000"/>
          <w:kern w:val="0"/>
          <w:sz w:val="24"/>
          <w:szCs w:val="24"/>
          <w:lang w:val="en-US" w:eastAsia="en-US" w:bidi="ar-SA"/>
          <w14:ligatures w14:val="none"/>
        </w:rPr>
        <w:t>Risk management</w:t>
      </w:r>
      <w:r>
        <w:rPr>
          <w:rFonts w:hint="default" w:ascii="Times New Roman" w:hAnsi="Times New Roman" w:eastAsia="Times New Roman" w:cs="Times New Roman"/>
          <w:b w:val="0"/>
          <w:bCs w:val="0"/>
          <w:color w:val="000000"/>
          <w:kern w:val="0"/>
          <w:sz w:val="24"/>
          <w:szCs w:val="24"/>
          <w:lang w:val="en-US" w:eastAsia="en-US" w:bidi="ar-SA"/>
          <w14:ligatures w14:val="none"/>
        </w:rPr>
        <w:t xml:space="preserve"> </w:t>
      </w:r>
    </w:p>
    <w:p w14:paraId="68799D51">
      <w:pPr>
        <w:widowControl/>
        <w:suppressAutoHyphens/>
        <w:bidi w:val="0"/>
        <w:spacing w:before="120" w:after="160" w:line="480" w:lineRule="auto"/>
        <w:ind w:firstLine="720"/>
        <w:jc w:val="both"/>
        <w:rPr>
          <w:rFonts w:hint="default" w:ascii="Times New Roman" w:hAnsi="Times New Roman" w:eastAsia="Times New Roman" w:cs="Times New Roman"/>
          <w:color w:val="auto"/>
          <w:kern w:val="0"/>
          <w:highlight w:val="none"/>
          <w:lang w:val="en-US"/>
          <w14:ligatures w14:val="none"/>
        </w:rPr>
      </w:pPr>
      <w:r>
        <w:rPr>
          <w:rFonts w:ascii="Times New Roman" w:hAnsi="Times New Roman" w:eastAsia="Times New Roman" w:cs="Times New Roman"/>
          <w:color w:val="auto"/>
          <w:kern w:val="0"/>
          <w:highlight w:val="none"/>
          <w:lang w:val="en-US"/>
          <w14:ligatures w14:val="none"/>
        </w:rPr>
        <w:t>Risk management is the process of identifying, assessing</w:t>
      </w:r>
      <w:r>
        <w:rPr>
          <w:rFonts w:hint="default" w:ascii="Times New Roman" w:hAnsi="Times New Roman" w:eastAsia="Times New Roman" w:cs="Times New Roman"/>
          <w:color w:val="auto"/>
          <w:kern w:val="0"/>
          <w:highlight w:val="none"/>
          <w:lang w:val="en-US"/>
          <w14:ligatures w14:val="none"/>
        </w:rPr>
        <w:t>, treating</w:t>
      </w:r>
      <w:r>
        <w:rPr>
          <w:rFonts w:ascii="Times New Roman" w:hAnsi="Times New Roman" w:eastAsia="Times New Roman" w:cs="Times New Roman"/>
          <w:color w:val="auto"/>
          <w:kern w:val="0"/>
          <w:highlight w:val="none"/>
          <w:lang w:val="en-US"/>
          <w14:ligatures w14:val="none"/>
        </w:rPr>
        <w:t>,</w:t>
      </w:r>
      <w:r>
        <w:rPr>
          <w:rFonts w:hint="default" w:ascii="Times New Roman" w:hAnsi="Times New Roman" w:eastAsia="Times New Roman" w:cs="Times New Roman"/>
          <w:color w:val="auto"/>
          <w:kern w:val="0"/>
          <w:highlight w:val="none"/>
          <w:lang w:val="en-US"/>
          <w14:ligatures w14:val="none"/>
        </w:rPr>
        <w:t xml:space="preserve"> and monitoring organisational risk </w:t>
      </w:r>
      <w:r>
        <w:rPr>
          <w:rFonts w:ascii="Times New Roman" w:hAnsi="Times New Roman" w:eastAsia="Times New Roman" w:cs="Times New Roman"/>
          <w:color w:val="auto"/>
          <w:kern w:val="0"/>
          <w:highlight w:val="none"/>
          <w:lang w:val="en-US"/>
          <w14:ligatures w14:val="none"/>
        </w:rPr>
        <w:t>(Alkhyyoon et al., 2023). The ISO 31000 framework, the most widely adopted international standard, conceptualises risk management as a cyclical process of identifyin</w:t>
      </w:r>
      <w:r>
        <w:rPr>
          <w:rFonts w:hint="default" w:ascii="Times New Roman" w:hAnsi="Times New Roman" w:eastAsia="Times New Roman" w:cs="Times New Roman"/>
          <w:color w:val="auto"/>
          <w:kern w:val="0"/>
          <w:highlight w:val="none"/>
          <w:lang w:val="en-US"/>
          <w14:ligatures w14:val="none"/>
        </w:rPr>
        <w:t>g</w:t>
      </w:r>
      <w:r>
        <w:rPr>
          <w:rFonts w:ascii="Times New Roman" w:hAnsi="Times New Roman" w:eastAsia="Times New Roman" w:cs="Times New Roman"/>
          <w:color w:val="auto"/>
          <w:kern w:val="0"/>
          <w:highlight w:val="none"/>
          <w:lang w:val="en-US"/>
          <w14:ligatures w14:val="none"/>
        </w:rPr>
        <w:t>, analysing and evaluatin</w:t>
      </w:r>
      <w:r>
        <w:rPr>
          <w:rFonts w:hint="default" w:ascii="Times New Roman" w:hAnsi="Times New Roman" w:eastAsia="Times New Roman" w:cs="Times New Roman"/>
          <w:color w:val="auto"/>
          <w:kern w:val="0"/>
          <w:highlight w:val="none"/>
          <w:lang w:val="en-US"/>
          <w14:ligatures w14:val="none"/>
        </w:rPr>
        <w:t xml:space="preserve">g the risk and </w:t>
      </w:r>
      <w:r>
        <w:rPr>
          <w:rFonts w:ascii="Times New Roman" w:hAnsi="Times New Roman" w:eastAsia="Times New Roman" w:cs="Times New Roman"/>
          <w:color w:val="auto"/>
          <w:kern w:val="0"/>
          <w:highlight w:val="none"/>
          <w:lang w:val="en-US"/>
          <w14:ligatures w14:val="none"/>
        </w:rPr>
        <w:t>implementing plans,</w:t>
      </w:r>
      <w:r>
        <w:rPr>
          <w:rFonts w:hint="default" w:ascii="Times New Roman" w:hAnsi="Times New Roman" w:eastAsia="Times New Roman" w:cs="Times New Roman"/>
          <w:color w:val="auto"/>
          <w:kern w:val="0"/>
          <w:highlight w:val="none"/>
          <w:lang w:val="en-US"/>
          <w14:ligatures w14:val="none"/>
        </w:rPr>
        <w:t xml:space="preserve"> </w:t>
      </w:r>
      <w:r>
        <w:rPr>
          <w:rFonts w:ascii="Times New Roman" w:hAnsi="Times New Roman" w:eastAsia="Times New Roman" w:cs="Times New Roman"/>
          <w:color w:val="auto"/>
          <w:kern w:val="0"/>
          <w:highlight w:val="none"/>
          <w:lang w:val="en-US"/>
          <w14:ligatures w14:val="none"/>
        </w:rPr>
        <w:t>reviewing and</w:t>
      </w:r>
      <w:r>
        <w:rPr>
          <w:rFonts w:hint="default" w:ascii="Times New Roman" w:hAnsi="Times New Roman" w:eastAsia="Times New Roman" w:cs="Times New Roman"/>
          <w:color w:val="auto"/>
          <w:kern w:val="0"/>
          <w:highlight w:val="none"/>
          <w:lang w:val="en-US"/>
          <w14:ligatures w14:val="none"/>
        </w:rPr>
        <w:t xml:space="preserve"> continuously</w:t>
      </w:r>
      <w:r>
        <w:rPr>
          <w:rFonts w:ascii="Times New Roman" w:hAnsi="Times New Roman" w:eastAsia="Times New Roman" w:cs="Times New Roman"/>
          <w:color w:val="auto"/>
          <w:kern w:val="0"/>
          <w:highlight w:val="none"/>
          <w:lang w:val="en-US"/>
          <w14:ligatures w14:val="none"/>
        </w:rPr>
        <w:t xml:space="preserve"> improving the </w:t>
      </w:r>
      <w:r>
        <w:rPr>
          <w:rFonts w:hint="default" w:ascii="Times New Roman" w:hAnsi="Times New Roman" w:eastAsia="Times New Roman" w:cs="Times New Roman"/>
          <w:color w:val="auto"/>
          <w:kern w:val="0"/>
          <w:highlight w:val="none"/>
          <w:lang w:val="en-US"/>
          <w14:ligatures w14:val="none"/>
        </w:rPr>
        <w:t xml:space="preserve">implemented risk management system </w:t>
      </w:r>
      <w:r>
        <w:rPr>
          <w:rFonts w:ascii="Times New Roman" w:hAnsi="Times New Roman" w:eastAsia="Times New Roman" w:cs="Times New Roman"/>
          <w:color w:val="auto"/>
          <w:kern w:val="0"/>
          <w:highlight w:val="none"/>
          <w:lang w:val="en-US"/>
          <w14:ligatures w14:val="none"/>
        </w:rPr>
        <w:t>(Balaka et al., 2022</w:t>
      </w:r>
      <w:r>
        <w:rPr>
          <w:rFonts w:hint="default" w:ascii="Times New Roman" w:hAnsi="Times New Roman" w:eastAsia="Times New Roman" w:cs="Times New Roman"/>
          <w:color w:val="auto"/>
          <w:kern w:val="0"/>
          <w:highlight w:val="none"/>
          <w:lang w:val="en-US"/>
          <w14:ligatures w14:val="none"/>
        </w:rPr>
        <w:t>).</w:t>
      </w:r>
    </w:p>
    <w:p w14:paraId="2FA6AFD8">
      <w:pPr>
        <w:widowControl/>
        <w:suppressAutoHyphens/>
        <w:bidi w:val="0"/>
        <w:spacing w:before="120" w:after="160" w:line="480" w:lineRule="auto"/>
        <w:ind w:firstLine="720"/>
        <w:jc w:val="both"/>
        <w:rPr>
          <w:rFonts w:ascii="Times New Roman" w:hAnsi="Times New Roman" w:eastAsia="Times New Roman" w:cs="Times New Roman"/>
          <w:color w:val="auto"/>
          <w:kern w:val="0"/>
          <w:highlight w:val="none"/>
          <w:lang w:val="en-US"/>
          <w14:ligatures w14:val="none"/>
        </w:rPr>
      </w:pPr>
      <w:r>
        <w:rPr>
          <w:rFonts w:ascii="Times New Roman" w:hAnsi="Times New Roman" w:eastAsia="Times New Roman" w:cs="Times New Roman"/>
          <w:color w:val="auto"/>
          <w:kern w:val="0"/>
          <w:highlight w:val="none"/>
          <w:lang w:val="en-US"/>
          <w14:ligatures w14:val="none"/>
        </w:rPr>
        <w:t>In the Ghanaian banking sector, Gakpo (2021) investigated the determinants of effective operational risk management systems implementation and found that risk governance, risk management policy, risk management planning, customised risk management processes, risk management implementation, risk management training, risk-based performance appraisal, and risk management culture are all positively and statistically significantly associated with effective operational risk management. These findings underscore the multi-dimensional nature of risk management effectiveness and suggest that no single element in isolation can drive the kind of comprehensive risk governance needed to prevent fraud and protect organisational performance. Gakpo (2024) further established that the active participation of organisational leaders in implementing and championing risk systems is a critical driver of risk management culture across Ghanaian financial institutions.</w:t>
      </w:r>
    </w:p>
    <w:p w14:paraId="240618BA">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Kaluba and Simwanza (2026) examined the relationship between corporate governance and investment risk management in a pension fund context and found that governance significantly influences risk management effectiveness, with structured committees signaling commitment to risk oversight and transparency in disclosure. However, the</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effectiveness of these committees was found to b</w:t>
      </w:r>
      <w:r>
        <w:rPr>
          <w:rFonts w:hint="default" w:ascii="Times New Roman" w:hAnsi="Times New Roman" w:eastAsia="Times New Roman" w:cs="Times New Roman"/>
          <w:color w:val="auto"/>
          <w:kern w:val="0"/>
          <w:lang w:val="en-US"/>
          <w14:ligatures w14:val="none"/>
        </w:rPr>
        <w:t xml:space="preserve">e </w:t>
      </w:r>
      <w:r>
        <w:rPr>
          <w:rFonts w:ascii="Times New Roman" w:hAnsi="Times New Roman" w:eastAsia="Times New Roman" w:cs="Times New Roman"/>
          <w:color w:val="auto"/>
          <w:kern w:val="0"/>
          <w:lang w:val="en-US"/>
          <w14:ligatures w14:val="none"/>
        </w:rPr>
        <w:t xml:space="preserve">driven by internal political dynamics, suggesting that the nominal existence of risk governance structures is not </w:t>
      </w:r>
      <w:r>
        <w:rPr>
          <w:rFonts w:hint="default" w:ascii="Times New Roman" w:hAnsi="Times New Roman" w:eastAsia="Times New Roman" w:cs="Times New Roman"/>
          <w:color w:val="auto"/>
          <w:kern w:val="0"/>
          <w:lang w:val="en-US"/>
          <w14:ligatures w14:val="none"/>
        </w:rPr>
        <w:t>enough</w:t>
      </w:r>
      <w:r>
        <w:rPr>
          <w:rFonts w:ascii="Times New Roman" w:hAnsi="Times New Roman" w:eastAsia="Times New Roman" w:cs="Times New Roman"/>
          <w:color w:val="auto"/>
          <w:kern w:val="0"/>
          <w:lang w:val="en-US"/>
          <w14:ligatures w14:val="none"/>
        </w:rPr>
        <w:t xml:space="preserve"> to guarantee their </w:t>
      </w:r>
      <w:r>
        <w:rPr>
          <w:rFonts w:hint="default" w:ascii="Times New Roman" w:hAnsi="Times New Roman" w:eastAsia="Times New Roman" w:cs="Times New Roman"/>
          <w:color w:val="auto"/>
          <w:kern w:val="0"/>
          <w:lang w:val="en-US"/>
          <w14:ligatures w14:val="none"/>
        </w:rPr>
        <w:t>sustainable</w:t>
      </w:r>
      <w:r>
        <w:rPr>
          <w:rFonts w:ascii="Times New Roman" w:hAnsi="Times New Roman" w:eastAsia="Times New Roman" w:cs="Times New Roman"/>
          <w:color w:val="auto"/>
          <w:kern w:val="0"/>
          <w:lang w:val="en-US"/>
          <w14:ligatures w14:val="none"/>
        </w:rPr>
        <w:t xml:space="preserve"> effectiveness.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Ofori et al., 2025).</w:t>
      </w:r>
    </w:p>
    <w:p w14:paraId="5E5EF9D6">
      <w:pPr>
        <w:widowControl/>
        <w:suppressAutoHyphens/>
        <w:bidi w:val="0"/>
        <w:spacing w:before="120" w:after="160" w:line="48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At its most mature (ERM), risk management enhances performance in low</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fraud environments but has a weaker</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association with performance where fraud is widespread</w:t>
      </w:r>
      <w:r>
        <w:rPr>
          <w:rFonts w:hint="default" w:ascii="Times New Roman" w:hAnsi="Times New Roman" w:eastAsia="Times New Roman" w:cs="Times New Roman"/>
          <w:color w:val="auto"/>
          <w:kern w:val="0"/>
          <w:lang w:val="en-US"/>
          <w14:ligatures w14:val="none"/>
        </w:rPr>
        <w:t xml:space="preserve">, showing </w:t>
      </w:r>
      <w:r>
        <w:rPr>
          <w:rFonts w:ascii="Times New Roman" w:hAnsi="Times New Roman" w:eastAsia="Times New Roman" w:cs="Times New Roman"/>
          <w:color w:val="auto"/>
          <w:kern w:val="0"/>
          <w:lang w:val="en-US"/>
          <w14:ligatures w14:val="none"/>
        </w:rPr>
        <w:t>that risk management effectiveness and governance quality are interdependent (Alkhyyoon et al., 2023</w:t>
      </w:r>
      <w:r>
        <w:rPr>
          <w:rFonts w:hint="default" w:ascii="Times New Roman" w:hAnsi="Times New Roman" w:eastAsia="Times New Roman" w:cs="Times New Roman"/>
          <w:color w:val="auto"/>
          <w:kern w:val="0"/>
          <w:lang w:val="en-US"/>
          <w14:ligatures w14:val="none"/>
        </w:rPr>
        <w:t>). Enterprise risk management</w:t>
      </w:r>
      <w:r>
        <w:rPr>
          <w:rFonts w:ascii="Times New Roman" w:hAnsi="Times New Roman" w:eastAsia="Times New Roman" w:cs="Times New Roman"/>
          <w:color w:val="auto"/>
          <w:kern w:val="0"/>
          <w:lang w:val="en-US"/>
          <w14:ligatures w14:val="none"/>
        </w:rPr>
        <w:t xml:space="preserve"> functions best when integrated into a culture of transparency and accountabilit</w:t>
      </w:r>
      <w:r>
        <w:rPr>
          <w:rFonts w:hint="default" w:ascii="Times New Roman" w:hAnsi="Times New Roman" w:eastAsia="Times New Roman" w:cs="Times New Roman"/>
          <w:color w:val="auto"/>
          <w:kern w:val="0"/>
          <w:lang w:val="en-US"/>
          <w14:ligatures w14:val="none"/>
        </w:rPr>
        <w:t>y. The application</w:t>
      </w:r>
      <w:r>
        <w:rPr>
          <w:rFonts w:ascii="Times New Roman" w:hAnsi="Times New Roman" w:eastAsia="Times New Roman" w:cs="Times New Roman"/>
          <w:color w:val="auto"/>
          <w:kern w:val="0"/>
          <w:lang w:val="en-US"/>
          <w14:ligatures w14:val="none"/>
        </w:rPr>
        <w:t xml:space="preserve"> of artificial intelligence to risk detection and continuous monitoring show promise but require careful governance of their own, particularly around explainability and accountability (Ogunmokun et al., 2021</w:t>
      </w:r>
      <w:r>
        <w:rPr>
          <w:rFonts w:hint="default" w:ascii="Times New Roman" w:hAnsi="Times New Roman" w:eastAsia="Times New Roman" w:cs="Times New Roman"/>
          <w:color w:val="auto"/>
          <w:kern w:val="0"/>
          <w:lang w:val="en-US"/>
          <w14:ligatures w14:val="none"/>
        </w:rPr>
        <w:t>).</w:t>
      </w:r>
    </w:p>
    <w:p w14:paraId="75773401">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18" w:name="__RefHeading___Toc3612_3370473891"/>
      <w:bookmarkEnd w:id="18"/>
      <w:bookmarkStart w:id="19" w:name="__RefHeading___Toc3610_3370473891"/>
      <w:bookmarkEnd w:id="19"/>
      <w:r>
        <w:rPr>
          <w:rFonts w:ascii="Times New Roman" w:hAnsi="Times New Roman" w:eastAsia="Times New Roman" w:cs="Times New Roman"/>
          <w:b w:val="0"/>
          <w:bCs w:val="0"/>
          <w:color w:val="000000"/>
          <w:kern w:val="0"/>
          <w:sz w:val="24"/>
          <w:szCs w:val="24"/>
          <w:lang w:val="en-US" w:eastAsia="en-US" w:bidi="ar-SA"/>
          <w14:ligatures w14:val="none"/>
        </w:rPr>
        <w:t>Fraud prevention and risk management</w:t>
      </w:r>
    </w:p>
    <w:p w14:paraId="3BEC2FAE">
      <w:pPr>
        <w:widowControl/>
        <w:suppressAutoHyphens/>
        <w:bidi w:val="0"/>
        <w:spacing w:before="120" w:after="160" w:line="48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relationship between risk management and fraud prevention is one of the main threads of the modern governance literature. Fraud risk assessment and management is a subdivision of the broader risk management field, specifically concerned with the conditions in which fraud is probable, the susceptibility of the organisation to those conditions, and the development of interventions that minimise the risk of a fraud event to tolerable levels. An investigation by Gakpo (2022) in Ghanaian financial institutions revealed that fraud risk management measures exhibit positive relationships with value-based financial performance measures, implying that organisations with well-established fraud risk management systems are not only more profitable but also better protected against fraud</w:t>
      </w:r>
      <w:r>
        <w:rPr>
          <w:rFonts w:hint="default" w:ascii="Times New Roman" w:hAnsi="Times New Roman" w:eastAsia="Times New Roman" w:cs="Times New Roman"/>
          <w:color w:val="auto"/>
          <w:kern w:val="0"/>
          <w:lang w:val="en-US"/>
          <w14:ligatures w14:val="none"/>
        </w:rPr>
        <w:t xml:space="preserve">. </w:t>
      </w:r>
    </w:p>
    <w:p w14:paraId="323011B8">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20" w:name="__RefHeading___Toc3614_3370473891"/>
      <w:bookmarkEnd w:id="20"/>
      <w:r>
        <w:rPr>
          <w:rFonts w:ascii="Times New Roman" w:hAnsi="Times New Roman" w:eastAsia="Times New Roman" w:cs="Times New Roman"/>
          <w:b w:val="0"/>
          <w:bCs w:val="0"/>
          <w:color w:val="000000"/>
          <w:kern w:val="0"/>
          <w:sz w:val="24"/>
          <w:szCs w:val="24"/>
          <w:lang w:val="en-US" w:eastAsia="en-US" w:bidi="ar-SA"/>
          <w14:ligatures w14:val="none"/>
        </w:rPr>
        <w:t>Fraud prevention</w:t>
      </w:r>
    </w:p>
    <w:p w14:paraId="0C694745">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Fraud prevention is the proactive use of strategies, technologies, and policies to stop fraudulent activities before they cause financial or reputational damage. It occurs in different varieties in organisational settings, with examples including fraud in financial statements, asset misappropriation, forgery, identity theft, cyber-related fraud, procurement fraud, and insider fraud. By 2024, financial services experienced 16,734 fraud cases in Ghana, marking a five per cent increase compared to the previous year, with losses of about GHC 83 million. The value of forgery and document manipulation cases also rose by almost eight times during the year compared to the year before, and losses from identity theft rose by nine times year on year (Bank of Ghana, 2025). These statistics paint a bleak picture of the volume and prevalence of fraud in the Ghanaian business landscape and explain why fraud prevention has become a new strategic focus of businesses across industries.</w:t>
      </w:r>
    </w:p>
    <w:p w14:paraId="5B8DE78D">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Herawaty et al. (2025) tested the concept of fraud prevention on a governance and ethics basis and identified that formal systems of governance cannot work as an appropriate preventive approach to fraud unless they are supported by an ethical culture. This finding postulates that the mere replacement of hard controls with a mixture of structured governance and internalised ethical values has a synergistic effect on transparency and public trust, which are two measurable aspects of organisational effectiveness. Similar conclusions were reached in the case study of PT Pos Indonesia by Maiviza and Kusumah (2025), who stated that internal audit is a key factor in mapping high-risk areas and that the whistleblowing system has a structurally viable design but fails to produce the necessary results due to the lack of follow-up and the insufficiency of whistleblower protection. The overall conclusion of these findings is that fraud prevention works best where it is a coordinated system consisting of structural controls, active risk assessment, forensic capabilities, and cultural adherence to ethical behaviour.</w:t>
      </w:r>
    </w:p>
    <w:p w14:paraId="6A9D647C">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21" w:name="__RefHeading___Toc3616_3370473891"/>
      <w:bookmarkEnd w:id="21"/>
      <w:bookmarkStart w:id="22" w:name="__RefHeading___Toc3618_3370473891"/>
      <w:bookmarkEnd w:id="22"/>
      <w:r>
        <w:rPr>
          <w:rFonts w:ascii="Times New Roman" w:hAnsi="Times New Roman" w:eastAsia="Times New Roman" w:cs="Times New Roman"/>
          <w:b w:val="0"/>
          <w:bCs w:val="0"/>
          <w:color w:val="000000"/>
          <w:kern w:val="0"/>
          <w:sz w:val="24"/>
          <w:szCs w:val="24"/>
          <w:lang w:val="en-US" w:eastAsia="en-US" w:bidi="ar-SA"/>
          <w14:ligatures w14:val="none"/>
        </w:rPr>
        <w:t>Internal controls and forensic accounting</w:t>
      </w:r>
    </w:p>
    <w:p w14:paraId="42BF9F66">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Internal controls are the most basic operational tools for preventing fraud in organisations. They are the policies, procedures, and mechanisms through which an organisation ensures that its resources are utilised properly, its financial accounts are accurate, and its operations are in accordance with laws and regulations. Hakki et al. (2025) identified a significant positive impact of internal control on fraud prevention in banking organisations, and found that good corporate governance enhances the impact of internal control by providing the overarching oversight framework within which internal controls are designed, implemented, and monitored. Manginte (2024) reached the same conclusion based on a systematic literature review, finding that the effectiveness of governance depends on strong internal control mechanisms and that organisations integrating the perspectives of governance and control result in more comprehensive approaches to accountability and long-term value protection.</w:t>
      </w:r>
    </w:p>
    <w:p w14:paraId="5CA99BC3">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Forensic accounting plays a complementary role, using specialist accounting and investigative skills to identify, probe and expose fraudulent transactions beyond what conventional statutory auditing can reach. Internal audit and governance practices operating jointly have been found to reduce fraud by alleviating the conflicts between organisational actors that would otherwise create opportunities for fraud (Gharrafi et al., 2022), while emerging applications of artificial intelligence, robotic process automation and blockchain in internal audit are beginning to shift the function from a reactive, post-compliance activity toward a proactive fraud mitigation tool (Udoh, 2024). The mechanisms behind why these interventions work are explained by the Fraud Triangle Theory, discussed in the Theoretical Foundations section below, which identifies pressure, opportunity and rationalisation as the three conditions that must coincide for fraud to occur, and which underpins this study's treatment of governance and risk management as tools that close the opportunity and rationalisation windows through which fraud enters an organisation.</w:t>
      </w:r>
    </w:p>
    <w:p w14:paraId="2F936A9B">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23" w:name="__RefHeading___Toc3620_3370473891"/>
      <w:bookmarkEnd w:id="23"/>
      <w:r>
        <w:rPr>
          <w:rFonts w:ascii="Times New Roman" w:hAnsi="Times New Roman" w:eastAsia="Times New Roman" w:cs="Times New Roman"/>
          <w:b w:val="0"/>
          <w:bCs w:val="0"/>
          <w:color w:val="000000"/>
          <w:kern w:val="0"/>
          <w:sz w:val="24"/>
          <w:szCs w:val="24"/>
          <w:lang w:val="en-US" w:eastAsia="en-US" w:bidi="ar-SA"/>
          <w14:ligatures w14:val="none"/>
        </w:rPr>
        <w:t>Organisational effectiveness</w:t>
      </w:r>
    </w:p>
    <w:p w14:paraId="34AE9D1F">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Organisational effectiveness</w:t>
      </w:r>
      <w:r>
        <w:rPr>
          <w:rFonts w:hint="default" w:ascii="Times New Roman" w:hAnsi="Times New Roman" w:eastAsia="Times New Roman" w:cs="Times New Roman"/>
          <w:color w:val="auto"/>
          <w:kern w:val="0"/>
          <w:lang w:val="en-US"/>
          <w14:ligatures w14:val="none"/>
        </w:rPr>
        <w:t xml:space="preserve"> describes</w:t>
      </w:r>
      <w:r>
        <w:rPr>
          <w:rFonts w:ascii="Times New Roman" w:hAnsi="Times New Roman" w:eastAsia="Times New Roman" w:cs="Times New Roman"/>
          <w:color w:val="auto"/>
          <w:kern w:val="0"/>
          <w:lang w:val="en-US"/>
          <w14:ligatures w14:val="none"/>
        </w:rPr>
        <w:t xml:space="preserve"> the extent to which an organisation fulfils its objectives, uses its resources well, and meets the expectations of its stakeholders</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S</w:t>
      </w:r>
      <w:r>
        <w:rPr>
          <w:rFonts w:ascii="Times New Roman" w:hAnsi="Times New Roman" w:eastAsia="Times New Roman" w:cs="Times New Roman"/>
          <w:color w:val="auto"/>
          <w:kern w:val="0"/>
          <w:lang w:val="en-US"/>
          <w14:ligatures w14:val="none"/>
        </w:rPr>
        <w:t>hareholders emphasis financial returns, employees the quality of the working environment, customers the reliability of goods and services, and regulators compliance with standards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(Tayal et al., 2021).</w:t>
      </w:r>
    </w:p>
    <w:p w14:paraId="61DF8480">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organisational effectiveness literature is dominated by four main theoretical models that have influenced how researchers and practitioners operationalise the concept. The goal attainment model defines effectiveness as the degree to which an organisation achieves the goals set by management. According to the systems resources model, effectiveness is defined as the ability of the organisation to acquire the resources it requires to operate and develop. The internal process model defines effectiveness based on the performance of the organisation's internal processes in terms of how smooth and efficient they are, the quality of communication, coordination, and decision-making. The stakeholder satisfaction model defines effectiveness as the extent to which the interests of all key stakeholder groups are fulfilled by organisational activities and outcomes (Nwanzu and Uhiara, 2018). By relying on all four of these models, Nwanzu and Uhiara (2018) validated their four-dimensional scale of organisational effectiveness, generating a multi-dimensional measurement tool to evaluate organisational effectiveness in terms of goal achievement, productivity, financial performance, regulatory compliance, market share, growth, timeliness, and stakeholder satisfaction.</w:t>
      </w:r>
    </w:p>
    <w:p w14:paraId="6F96D05F">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 study by Tayal et al. (2021) constructed and tested an organisational effectiveness scale within the Indian service industry on the basis of Confirmatory Factor Analysis, using data from 353 employees of a bank, revealing that organisational innovation and communication were the most powerful dimensions of the scale. That finding implies that organisational effectiveness is not merely a matter of achieving financial targets or reaching stated objectives, but also relates to the ability of the organisation to evolve, be creative, and communicate efficiently with both internal and external environments. Such behavioural and cultural aspects of effectiveness directly apply to the theme of the current study, which focuses on governance and risk management as strategic tools, since both governance and risk management are essentially about shaping the behaviour of people in organisations to align individual interests with organisational goals.</w:t>
      </w:r>
    </w:p>
    <w:p w14:paraId="46356D64">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connection between corporate governance and organisational effectiveness in the Ghanaian context has been receiving an increasing level of empirical attention. Atugeba and Acquah-Sam (2024) determined that corporate governance practices are positively correlated with firm performance in Ghanaian companies, whereas Ofori et al. (2025) determined that board independence and board composition have significant effects on bank performance in Ghana, with firm size moderating the association between board meetings and operational risk management. Internal control systems comprising control activities, control environments, and risk assessment dimensions have also been found to have significant effects on organisational effectiveness in Ghanaian banks (Otoo, 2023). All these findings tend to indicate that governance and risk management support organisational performance both directly and indirectly, through their implications for process discipline and fraud prevention.</w:t>
      </w:r>
    </w:p>
    <w:p w14:paraId="4AD560F9">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24" w:name="__RefHeading___Toc3622_3370473891"/>
      <w:bookmarkEnd w:id="24"/>
      <w:r>
        <w:rPr>
          <w:rFonts w:ascii="Times New Roman" w:hAnsi="Times New Roman" w:eastAsia="Times New Roman" w:cs="Times New Roman"/>
          <w:b w:val="0"/>
          <w:bCs w:val="0"/>
          <w:color w:val="000000"/>
          <w:kern w:val="0"/>
          <w:sz w:val="24"/>
          <w:szCs w:val="24"/>
          <w:lang w:val="en-US" w:eastAsia="en-US" w:bidi="ar-SA"/>
          <w14:ligatures w14:val="none"/>
        </w:rPr>
        <w:t>Financial performance</w:t>
      </w:r>
    </w:p>
    <w:p w14:paraId="5DB9A918">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Financial performance is the dimension of organisational effectiveness that receives the most attention from both practitioners and researchers, largely because it is the most readily quantifiable and the most directly connected to the interests of shareholders and investors. Typically, financial performance is measured using net profit, return on investment, return on assets, earnings per share, market share, and growth in revenues (Nwanzu and Uhiara, 2018). In the governance and fraud prevention literature, financial performance is considered a downstream outcome of the governance and control systems that guard against misappropriation and mismanagement of organisational resources. Setyaningrum (2026) discovered that a shift to good corporate governance practices, manifested through changes in non-performing loan ratios and returns on assets in a rural bank, produced observable effects despite the fact that the implementation of good corporate governance practices continued to be mostly formal, even in a setting where the institution of governance was at best constrained.</w:t>
      </w:r>
    </w:p>
    <w:p w14:paraId="3428AFD2">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correlation between governance quality and organisational performance in 42 Ghanaian firms across the banking, manufacturing, and telecommunications sectors yielded a correlation coefficient of 0.592, which clearly indicates the strength of the governance-performance relationship across various organisational settings in Ghana (Celestin et al., 2026). Notably, the analysis showed that the association was not industry-specific, which implies that the positive effect of governance on the financial performance of a given company is a universal effect and not confined to the banking industry. This cross-sector generalisability is pertinent to this study, which focuses on the state of governance and risk management across four different Ghanaian sectors.</w:t>
      </w:r>
    </w:p>
    <w:p w14:paraId="736E8508">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25" w:name="__RefHeading___Toc3624_3370473891"/>
      <w:bookmarkEnd w:id="25"/>
      <w:r>
        <w:rPr>
          <w:rFonts w:ascii="Times New Roman" w:hAnsi="Times New Roman" w:eastAsia="Times New Roman" w:cs="Times New Roman"/>
          <w:b w:val="0"/>
          <w:bCs w:val="0"/>
          <w:color w:val="000000"/>
          <w:kern w:val="0"/>
          <w:sz w:val="24"/>
          <w:szCs w:val="24"/>
          <w:lang w:val="en-US" w:eastAsia="en-US" w:bidi="ar-SA"/>
          <w14:ligatures w14:val="none"/>
        </w:rPr>
        <w:t>Non-financial performance</w:t>
      </w:r>
    </w:p>
    <w:p w14:paraId="6E74243F">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 addition to the financial measures of organisational effectiveness, there are non-financial aspects of organisational performance such as operational efficiency, quality of goods and services, regulatory compliance, staff performance and satisfaction, and the overall satisfaction of stakeholder interests. According to Nwanzu and Uhiara (2018), a truly holistic concept of organisational effectiveness should consider all of these dimensions at once, as an organisation that achieves good financial returns through fraud cannot be considered effective in any meaningful sense. Herawaty et al. (2025) propose a similar argument, cautioning that formal governance systems must correspond to the ethical values proclaimed by the organisation, since, without the concept of integrity as an authentic cultural value, organisations that rely solely on structural controls will continue to be susceptible to fraud, no matter how intricate their governance structures have become.</w:t>
      </w:r>
    </w:p>
    <w:p w14:paraId="0827D5F6">
      <w:pPr>
        <w:widowControl/>
        <w:suppressAutoHyphens/>
        <w:bidi w:val="0"/>
        <w:spacing w:before="120" w:after="160" w:line="48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Mensah and Agyei (2021) discovered that low productivity, high absenteeism, and labour turnover are symptoms of organisational cultures that are weakly governed and lack employee engagement and performance management, conditions that affect a large number of Ghanaian organisations</w:t>
      </w:r>
      <w:r>
        <w:rPr>
          <w:rFonts w:hint="default" w:ascii="Times New Roman" w:hAnsi="Times New Roman" w:eastAsia="Times New Roman" w:cs="Times New Roman"/>
          <w:color w:val="auto"/>
          <w:kern w:val="0"/>
          <w:lang w:val="en-US"/>
          <w14:ligatures w14:val="none"/>
        </w:rPr>
        <w:t>.</w:t>
      </w:r>
    </w:p>
    <w:p w14:paraId="131E9E30">
      <w:pPr>
        <w:widowControl/>
        <w:suppressAutoHyphens/>
        <w:bidi w:val="0"/>
        <w:spacing w:before="280" w:after="140" w:line="480" w:lineRule="auto"/>
        <w:jc w:val="both"/>
        <w:outlineLvl w:val="0"/>
        <w:rPr>
          <w:rFonts w:ascii="Times New Roman" w:hAnsi="Times New Roman" w:eastAsia="Times New Roman" w:cs="Times New Roman"/>
          <w:b/>
          <w:bCs/>
          <w:color w:val="000000"/>
          <w:kern w:val="0"/>
          <w:sz w:val="24"/>
          <w:szCs w:val="24"/>
          <w:lang w:val="en-US" w:eastAsia="en-US" w:bidi="ar-SA"/>
          <w14:ligatures w14:val="none"/>
        </w:rPr>
      </w:pPr>
      <w:bookmarkStart w:id="26" w:name="__RefHeading___Toc3626_3370473891"/>
      <w:bookmarkEnd w:id="26"/>
      <w:r>
        <w:rPr>
          <w:rFonts w:ascii="Times New Roman" w:hAnsi="Times New Roman" w:eastAsia="Times New Roman" w:cs="Times New Roman"/>
          <w:b/>
          <w:bCs/>
          <w:color w:val="000000"/>
          <w:kern w:val="0"/>
          <w:sz w:val="24"/>
          <w:szCs w:val="24"/>
          <w:lang w:val="en-US" w:eastAsia="en-US" w:bidi="ar-SA"/>
          <w14:ligatures w14:val="none"/>
        </w:rPr>
        <w:t>Empirical review</w:t>
      </w:r>
    </w:p>
    <w:p w14:paraId="26E37ED6">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bookmarkStart w:id="27" w:name="__RefHeading___Toc3636_3370473891"/>
      <w:bookmarkEnd w:id="27"/>
      <w:r>
        <w:rPr>
          <w:rFonts w:ascii="Times New Roman" w:hAnsi="Times New Roman" w:eastAsia="Times New Roman" w:cs="Times New Roman"/>
          <w:color w:val="auto"/>
          <w:kern w:val="0"/>
          <w:lang w:val="en-US"/>
          <w14:ligatures w14:val="none"/>
        </w:rPr>
        <w:t>This section reviews empirical literature on the relationships between corporate governance, risk management, fraud prevention and organisational effectiveness, drawing on studies from Ghana and comparable developing-country contexts.</w:t>
      </w:r>
    </w:p>
    <w:p w14:paraId="6938E976">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28" w:name="__RefHeading___Toc5020_new"/>
      <w:bookmarkEnd w:id="28"/>
      <w:r>
        <w:rPr>
          <w:rFonts w:ascii="Times New Roman" w:hAnsi="Times New Roman" w:eastAsia="Times New Roman" w:cs="Times New Roman"/>
          <w:b w:val="0"/>
          <w:bCs w:val="0"/>
          <w:color w:val="000000"/>
          <w:kern w:val="0"/>
          <w:sz w:val="24"/>
          <w:szCs w:val="24"/>
          <w:lang w:val="en-US" w:eastAsia="en-US" w:bidi="ar-SA"/>
          <w14:ligatures w14:val="none"/>
        </w:rPr>
        <w:t>Corporate governance and fraud prevention</w:t>
      </w:r>
    </w:p>
    <w:p w14:paraId="13CD5E9E">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empirical evidence consistently supports a positive association between governance quality and fraud prevention. In Indonesian local government agencies, internal control was found to strengthen corporate governance, which in turn reduced fraud both directly and as a channel through which other fraud-prevention systems operate (Herawaty and Hernando, 2020). In Indonesian banking, good governance significantly amplified the positive effect of internal control on fraud prevention, functioning as a moderator rather than a standalone driver (Hakki et al., 2025), a pattern echoed in a state-owned industrial enterprise where internal control, audit committees and governance jointly reduced fraud (Aisyah et al., 2023), and in evidence that governance, internal audit quality and organisational culture jointly improve financial reporting quality, which itself mediates fraud prevention outcomes (Prayetno and Reimond Hasangapan, 2025). The composition and expertise of governance bodies matters as much as their formal existence: board independence and audit committee quality have been linked to reporting accuracy and reduced fraud in global listed firms (Celestin, 20</w:t>
      </w:r>
      <w:r>
        <w:rPr>
          <w:rFonts w:hint="default" w:ascii="Times New Roman" w:hAnsi="Times New Roman" w:eastAsia="Times New Roman" w:cs="Times New Roman"/>
          <w:color w:val="auto"/>
          <w:kern w:val="0"/>
          <w:lang w:val="en-US"/>
          <w14:ligatures w14:val="none"/>
        </w:rPr>
        <w:t>24</w:t>
      </w:r>
      <w:r>
        <w:rPr>
          <w:rFonts w:ascii="Times New Roman" w:hAnsi="Times New Roman" w:eastAsia="Times New Roman" w:cs="Times New Roman"/>
          <w:color w:val="auto"/>
          <w:kern w:val="0"/>
          <w:lang w:val="en-US"/>
          <w14:ligatures w14:val="none"/>
        </w:rPr>
        <w:t>), while Fraud Pentagon evidence shows governance significantly moderates and reduces the influence of opportunity and rationalisation, the two fraud drivers most susceptible to governance intervention, on actual fraud occurrence (Rohmatin et al., 2021).</w:t>
      </w:r>
    </w:p>
    <w:p w14:paraId="67B8BD24">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29" w:name="__RefHeading___Toc5021_new"/>
      <w:bookmarkEnd w:id="29"/>
      <w:r>
        <w:rPr>
          <w:rFonts w:ascii="Times New Roman" w:hAnsi="Times New Roman" w:eastAsia="Times New Roman" w:cs="Times New Roman"/>
          <w:b w:val="0"/>
          <w:bCs w:val="0"/>
          <w:color w:val="000000"/>
          <w:kern w:val="0"/>
          <w:sz w:val="24"/>
          <w:szCs w:val="24"/>
          <w:lang w:val="en-US" w:eastAsia="en-US" w:bidi="ar-SA"/>
          <w14:ligatures w14:val="none"/>
        </w:rPr>
        <w:t>Risk management and fraud prevention</w:t>
      </w:r>
    </w:p>
    <w:p w14:paraId="273EBFD1">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Studies</w:t>
      </w:r>
      <w:r>
        <w:rPr>
          <w:rFonts w:ascii="Times New Roman" w:hAnsi="Times New Roman" w:eastAsia="Times New Roman" w:cs="Times New Roman"/>
          <w:color w:val="auto"/>
          <w:kern w:val="0"/>
          <w:lang w:val="en-US"/>
          <w14:ligatures w14:val="none"/>
        </w:rPr>
        <w:t xml:space="preserve"> on risk management and fraud prevention, </w:t>
      </w:r>
      <w:r>
        <w:rPr>
          <w:rFonts w:hint="default" w:ascii="Times New Roman" w:hAnsi="Times New Roman" w:eastAsia="Times New Roman" w:cs="Times New Roman"/>
          <w:color w:val="auto"/>
          <w:kern w:val="0"/>
          <w:lang w:val="en-US"/>
          <w14:ligatures w14:val="none"/>
        </w:rPr>
        <w:t>though not many</w:t>
      </w:r>
      <w:r>
        <w:rPr>
          <w:rFonts w:ascii="Times New Roman" w:hAnsi="Times New Roman" w:eastAsia="Times New Roman" w:cs="Times New Roman"/>
          <w:color w:val="auto"/>
          <w:kern w:val="0"/>
          <w:lang w:val="en-US"/>
          <w14:ligatures w14:val="none"/>
        </w:rPr>
        <w:t>, points</w:t>
      </w:r>
      <w:r>
        <w:rPr>
          <w:rFonts w:hint="default" w:ascii="Times New Roman" w:hAnsi="Times New Roman" w:eastAsia="Times New Roman" w:cs="Times New Roman"/>
          <w:color w:val="auto"/>
          <w:kern w:val="0"/>
          <w:lang w:val="en-US"/>
          <w14:ligatures w14:val="none"/>
        </w:rPr>
        <w:t xml:space="preserve"> to</w:t>
      </w:r>
      <w:r>
        <w:rPr>
          <w:rFonts w:ascii="Times New Roman" w:hAnsi="Times New Roman" w:eastAsia="Times New Roman" w:cs="Times New Roman"/>
          <w:color w:val="auto"/>
          <w:kern w:val="0"/>
          <w:lang w:val="en-US"/>
          <w14:ligatures w14:val="none"/>
        </w:rPr>
        <w:t xml:space="preserve"> the same direction. Structural equation modelling of Indonesian public sector data found that internal control and risk management jointly strengthen fraud prevention, and that fraud prevention itself substantially mediates the path from risk management to organisational performance, directly informing this study</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s mediation hypotheses (Balaka et al., 2022). This relationship is context-sensitive, however: comparative evidence from manufacturing firms in Iran, Iraq and Saudi Arabia found Enterprise Risk Management improved performance where institutional enforcement was stronger but had negligible or adverse effects where it was weak (Alkhyyoon et al., 2023), a pattern of practical relevance to Ghana, where institutional enforcement capacity varies markedly across sectors. Qualitative evidence adds nuance: internal audit was found to actively reduce fraud while whistleblowing systems, though structurally sound, were hampered by weak follow-up and inadequate protection (Maiviza and Kusumah, 2025), and organisational culture was found to affect fraud prevention only indirectly, through internal control quality and governance, rather than directly (Efendi et al., 2024).</w:t>
      </w:r>
    </w:p>
    <w:p w14:paraId="7B126013">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30" w:name="__RefHeading___Toc5022_new"/>
      <w:bookmarkEnd w:id="30"/>
      <w:r>
        <w:rPr>
          <w:rFonts w:ascii="Times New Roman" w:hAnsi="Times New Roman" w:eastAsia="Times New Roman" w:cs="Times New Roman"/>
          <w:b w:val="0"/>
          <w:bCs w:val="0"/>
          <w:color w:val="000000"/>
          <w:kern w:val="0"/>
          <w:sz w:val="24"/>
          <w:szCs w:val="24"/>
          <w:lang w:val="en-US" w:eastAsia="en-US" w:bidi="ar-SA"/>
          <w14:ligatures w14:val="none"/>
        </w:rPr>
        <w:t>Fraud prevention and organisational effectiveness</w:t>
      </w:r>
    </w:p>
    <w:p w14:paraId="39750665">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clearest evidence that fraud prevention drives performance again comes from Balaka et al. (2022), who identified fraud prevention as the principal mechanism through which risk management and internal control translate into organisational performance gains. Governance that suppresses fraud has been shown to independently improve outcomes in public sector agencies (Herawaty and Hernando, 2020), and combining governance structures with a genuine ethical culture, rather than hard controls alone, produces measurable gains in transparency and stakeholder trust that translate into tangible performance advantages (Herawaty et al., 2025). Fraud prevention through governance, internal audit quality and appropriate compensation structures has also been linked to reduced fraud tendency across Indonesian firms (Sukanti et al., 2023), while in Ghana, weak governance and poor employee motivation have been linked to absenteeism, low productivity and turnover, all costs of inadequate governance and elevated fraud risk (Mensah and Agyei, 2021).</w:t>
      </w:r>
    </w:p>
    <w:p w14:paraId="0DAA7876">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31" w:name="__RefHeading___Toc5023_new"/>
      <w:bookmarkEnd w:id="31"/>
      <w:r>
        <w:rPr>
          <w:rFonts w:ascii="Times New Roman" w:hAnsi="Times New Roman" w:eastAsia="Times New Roman" w:cs="Times New Roman"/>
          <w:b w:val="0"/>
          <w:bCs w:val="0"/>
          <w:color w:val="000000"/>
          <w:kern w:val="0"/>
          <w:sz w:val="24"/>
          <w:szCs w:val="24"/>
          <w:lang w:val="en-US" w:eastAsia="en-US" w:bidi="ar-SA"/>
          <w14:ligatures w14:val="none"/>
        </w:rPr>
        <w:t>Corporate governance, risk management and organisational effectiveness</w:t>
      </w:r>
    </w:p>
    <w:p w14:paraId="3BADC88F">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 addition to the mediated route through fraud prevention, the empirical literature also contains substantial evidence of direct relationships between corporate governance and risk management on the one hand and organisational effectiveness on the other. Sooch (2023) designed and tested a conceptual framework based on questionnaire results from 400 India-based business managers, finding that corporate governance and data governance are directly and significantly correlated with increased organisational performance. Alignment between governance objectives and organisational strategy proved to be the most significant predictor of high performance, which supports the notion that governance contributes most when it is integrated within the strategic structure of an organisation and not confined to the compliance function.</w:t>
      </w:r>
    </w:p>
    <w:p w14:paraId="14F3ED05">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By examining 42 Ghana-based firms across banking, manufacturing, and telecommunications, Celestin et al. (2026) discovered that an independent board and an efficient audit committee enhance financial control and organisational performance significantly, and that the association between governance quality and organisational performance is strong. A rural bank case study in Indonesia by Setyaningrum (2026) revealed that good implementation of corporate governance, albeit in a de facto form and subject to political interference, nevertheless resulted in some observable improvements in the non-performing loan ratio and return on assets, indicating that the performance benefits of good governance implementation can be observed even under unconducive institutional settings. Similarly, Sarmigi and Wahyuni (2025) found that the COSO internal control framework, in and of itself, had no strong impact on organisational performance or fraud prevention in the context of the Indonesian zakat institution; however, Islamic organisational culture as a value-based governance mechanism had a strong bearing on the outcome variables and mediated the relationship between formal control systems and organisational performance.</w:t>
      </w:r>
    </w:p>
    <w:p w14:paraId="6CD88ED6">
      <w:pPr>
        <w:widowControl/>
        <w:suppressAutoHyphens/>
        <w:bidi w:val="0"/>
        <w:spacing w:before="120" w:after="160" w:line="48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Using a systematic literature review, Manginte (2024) synthesised the literature on corporate governance systems and internal control systems, and concluded that strong internal controls are inherently connected to transparency, and that integrating the governance and control lenses helps organisations to create systemic approaches that encourage long-term value. Both Setyaningrum (2026) and Kaluba and Simwanza (2026) discovered that the functional effectiveness of governance structures is uneven, hinging on internal politics, the quality of human resources in the governance architecture, and the extent to which governance principles are internalised as opposed to being formally enacted</w:t>
      </w:r>
      <w:r>
        <w:rPr>
          <w:rFonts w:hint="default" w:ascii="Times New Roman" w:hAnsi="Times New Roman" w:eastAsia="Times New Roman" w:cs="Times New Roman"/>
          <w:color w:val="auto"/>
          <w:kern w:val="0"/>
          <w:lang w:val="en-US"/>
          <w14:ligatures w14:val="none"/>
        </w:rPr>
        <w:t xml:space="preserve">. </w:t>
      </w:r>
    </w:p>
    <w:p w14:paraId="4A077473">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p>
    <w:p w14:paraId="6727F47B">
      <w:pPr>
        <w:widowControl/>
        <w:suppressAutoHyphens/>
        <w:bidi w:val="0"/>
        <w:spacing w:before="280" w:after="140" w:line="480" w:lineRule="auto"/>
        <w:jc w:val="both"/>
        <w:outlineLvl w:val="0"/>
        <w:rPr>
          <w:rFonts w:ascii="Times New Roman" w:hAnsi="Times New Roman" w:eastAsia="Times New Roman" w:cs="Times New Roman"/>
          <w:b/>
          <w:bCs/>
          <w:color w:val="000000"/>
          <w:kern w:val="0"/>
          <w:sz w:val="24"/>
          <w:szCs w:val="24"/>
          <w:lang w:val="en-US" w:eastAsia="en-US" w:bidi="ar-SA"/>
          <w14:ligatures w14:val="none"/>
        </w:rPr>
      </w:pPr>
      <w:r>
        <w:rPr>
          <w:rFonts w:ascii="Times New Roman" w:hAnsi="Times New Roman" w:eastAsia="Times New Roman" w:cs="Times New Roman"/>
          <w:b/>
          <w:bCs/>
          <w:color w:val="000000"/>
          <w:kern w:val="0"/>
          <w:sz w:val="24"/>
          <w:szCs w:val="24"/>
          <w:lang w:val="en-US" w:eastAsia="en-US" w:bidi="ar-SA"/>
          <w14:ligatures w14:val="none"/>
        </w:rPr>
        <w:t>Theoretical foundations of the study</w:t>
      </w:r>
    </w:p>
    <w:p w14:paraId="72DDD11C">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This section discusses the theorie</w:t>
      </w:r>
      <w:r>
        <w:rPr>
          <w:rFonts w:hint="default" w:ascii="Times New Roman" w:hAnsi="Times New Roman" w:eastAsia="Times New Roman" w:cs="Times New Roman"/>
          <w:color w:val="auto"/>
          <w:kern w:val="0"/>
          <w:lang w:val="en-US"/>
          <w14:ligatures w14:val="none"/>
        </w:rPr>
        <w:t xml:space="preserve">s </w:t>
      </w:r>
      <w:r>
        <w:rPr>
          <w:rFonts w:ascii="Times New Roman" w:hAnsi="Times New Roman" w:eastAsia="Times New Roman" w:cs="Times New Roman"/>
          <w:color w:val="auto"/>
          <w:kern w:val="0"/>
          <w:lang w:val="en-US"/>
          <w14:ligatures w14:val="none"/>
        </w:rPr>
        <w:t>of the study and upon which the conceptual framework and hypotheses are based. The theoretical foundation of the study rests on three key theories, namely Agency Theory, the Fraud Triangle Theory, and Institutional Theory.</w:t>
      </w:r>
    </w:p>
    <w:p w14:paraId="0CA764A9">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32" w:name="__RefHeading___Toc3638_3370473891"/>
      <w:bookmarkEnd w:id="32"/>
      <w:r>
        <w:rPr>
          <w:rFonts w:ascii="Times New Roman" w:hAnsi="Times New Roman" w:eastAsia="Times New Roman" w:cs="Times New Roman"/>
          <w:b w:val="0"/>
          <w:bCs w:val="0"/>
          <w:color w:val="000000"/>
          <w:kern w:val="0"/>
          <w:sz w:val="24"/>
          <w:szCs w:val="24"/>
          <w:lang w:val="en-US" w:eastAsia="en-US" w:bidi="ar-SA"/>
          <w14:ligatures w14:val="none"/>
        </w:rPr>
        <w:t>Agency theory</w:t>
      </w:r>
    </w:p>
    <w:p w14:paraId="5217D90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 xml:space="preserve">Agency </w:t>
      </w:r>
      <w:r>
        <w:rPr>
          <w:rFonts w:ascii="Times New Roman" w:hAnsi="Times New Roman" w:eastAsia="Times New Roman" w:cs="Times New Roman"/>
          <w:color w:val="auto"/>
          <w:kern w:val="0"/>
          <w:lang w:val="en-US"/>
          <w14:ligatures w14:val="none"/>
        </w:rPr>
        <w:t xml:space="preserve">theory, formally developed by Jensen and Meckling (1976) and later </w:t>
      </w:r>
      <w:r>
        <w:rPr>
          <w:rFonts w:hint="default" w:ascii="Times New Roman" w:hAnsi="Times New Roman" w:eastAsia="Times New Roman" w:cs="Times New Roman"/>
          <w:color w:val="auto"/>
          <w:kern w:val="0"/>
          <w:lang w:val="en-US"/>
          <w14:ligatures w14:val="none"/>
        </w:rPr>
        <w:t xml:space="preserve">expanded </w:t>
      </w:r>
      <w:r>
        <w:rPr>
          <w:rFonts w:ascii="Times New Roman" w:hAnsi="Times New Roman" w:eastAsia="Times New Roman" w:cs="Times New Roman"/>
          <w:color w:val="auto"/>
          <w:kern w:val="0"/>
          <w:lang w:val="en-US"/>
          <w14:ligatures w14:val="none"/>
        </w:rPr>
        <w:t>by many scholars, discusses that</w:t>
      </w:r>
      <w:r>
        <w:rPr>
          <w:rFonts w:hint="default" w:ascii="Times New Roman" w:hAnsi="Times New Roman" w:eastAsia="Times New Roman" w:cs="Times New Roman"/>
          <w:color w:val="auto"/>
          <w:kern w:val="0"/>
          <w:lang w:val="en-US"/>
          <w14:ligatures w14:val="none"/>
        </w:rPr>
        <w:t xml:space="preserve"> conflict</w:t>
      </w:r>
      <w:r>
        <w:rPr>
          <w:rFonts w:ascii="Times New Roman" w:hAnsi="Times New Roman" w:eastAsia="Times New Roman" w:cs="Times New Roman"/>
          <w:color w:val="auto"/>
          <w:kern w:val="0"/>
          <w:lang w:val="en-US"/>
          <w14:ligatures w14:val="none"/>
        </w:rPr>
        <w:t xml:space="preserve"> occurs when one party, the principal, delegates authority to make decisions to another party, the agent, who may have conflicting interests with the principal. Shareholders become the principals, managers become the agents, and the key question in Agency Theory is how governance structures</w:t>
      </w:r>
      <w:r>
        <w:rPr>
          <w:rFonts w:hint="default" w:ascii="Times New Roman" w:hAnsi="Times New Roman" w:eastAsia="Times New Roman" w:cs="Times New Roman"/>
          <w:color w:val="auto"/>
          <w:kern w:val="0"/>
          <w:lang w:val="en-US"/>
          <w14:ligatures w14:val="none"/>
        </w:rPr>
        <w:t xml:space="preserve"> can</w:t>
      </w:r>
      <w:r>
        <w:rPr>
          <w:rFonts w:ascii="Times New Roman" w:hAnsi="Times New Roman" w:eastAsia="Times New Roman" w:cs="Times New Roman"/>
          <w:color w:val="auto"/>
          <w:kern w:val="0"/>
          <w:lang w:val="en-US"/>
          <w14:ligatures w14:val="none"/>
        </w:rPr>
        <w:t xml:space="preserve"> align</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managerial incentives with the best interests of shareholders, and reduce the costs associated with self-interested managerial behaviour.</w:t>
      </w:r>
    </w:p>
    <w:p w14:paraId="217EDFA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Agency Theory justifies the need for governance systems such as independent boards, audit committees, codes of conduct, and internal control systems. These structures minimise agency costs by creating checks and balances over management behaviour, establishing transparency and accuracy in financial reporting, and developing accountability mechanisms that prevent the tendency towards fraud (Gharrafi et al., 2022; Sukanti et al., 2023; Hakki et al., 2025). In an agency framework, Rehman and Hashim (2020) have shown that fraud prevention measures serve as a mediating factor in the relationship between governance quality and corporate governance outcomes, an outcome that Agency Theory would predict, given its fundamental focus on aligning agent behaviour with the interests of the principal.</w:t>
      </w:r>
    </w:p>
    <w:p w14:paraId="546C1752">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33" w:name="__RefHeading___Toc3640_3370473891"/>
      <w:bookmarkEnd w:id="33"/>
      <w:r>
        <w:rPr>
          <w:rFonts w:ascii="Times New Roman" w:hAnsi="Times New Roman" w:eastAsia="Times New Roman" w:cs="Times New Roman"/>
          <w:b w:val="0"/>
          <w:bCs w:val="0"/>
          <w:color w:val="000000"/>
          <w:kern w:val="0"/>
          <w:sz w:val="24"/>
          <w:szCs w:val="24"/>
          <w:lang w:val="en-US" w:eastAsia="en-US" w:bidi="ar-SA"/>
          <w14:ligatures w14:val="none"/>
        </w:rPr>
        <w:t>Fraud triangle theory</w:t>
      </w:r>
    </w:p>
    <w:p w14:paraId="41EF1D4F">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Fraud Triangle Theory provides the most widely used theoretical framework for understanding why fraud occurs and how it can be prevented. Originally formulated by Cressey (1953) and subsequently refined and empirically tested by numerous researchers, the theory posits that fraud is most likely to occur when three conditions are simultaneously present: pressure, which refers to the financial or personal motivation that drives an individual to consider fraud; opportunity, which refers to the conditions, typically weak controls or inadequate oversight, that make fraud feasible without a high risk of detection; and rationalisation, which refers to the cognitive or ethical justification that allows the perpetrator to reconcile their fraudulent behaviour with their self-image (Kulmie and Ibrahim, 2024; Rohmatin et al., 2021).</w:t>
      </w:r>
    </w:p>
    <w:p w14:paraId="69236624">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empirical findings of Rohmatin et al. (2021) established that good corporate governance significantly moderates and reduces the effect of opportunity and rationalisation on the occurrence of fraud. Kulmie and Ibrahim (2024) have also established through systematic review that board oversight and audit committee expertise are the most effective mechanisms for closing the opportunity window that the Fraud Triangle identifies as the primary target of governance-based fraud prevention. This study draws on the Fraud Triangle Theory to provide the theoretical mechanism by which governance and risk management are expected to fulfil their fraud prevention role, and it underpins the mediation hypothesis that fraud prevention is the pathway through which both governance and risk management ultimately translate into organisational performance.</w:t>
      </w:r>
    </w:p>
    <w:p w14:paraId="7D53D850">
      <w:pPr>
        <w:widowControl/>
        <w:suppressAutoHyphens/>
        <w:bidi w:val="0"/>
        <w:spacing w:before="220" w:after="100" w:line="48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34" w:name="__RefHeading___Toc3642_3370473891"/>
      <w:bookmarkEnd w:id="34"/>
      <w:r>
        <w:rPr>
          <w:rFonts w:ascii="Times New Roman" w:hAnsi="Times New Roman" w:eastAsia="Times New Roman" w:cs="Times New Roman"/>
          <w:b w:val="0"/>
          <w:bCs w:val="0"/>
          <w:color w:val="000000"/>
          <w:kern w:val="0"/>
          <w:sz w:val="24"/>
          <w:szCs w:val="24"/>
          <w:lang w:val="en-US" w:eastAsia="en-US" w:bidi="ar-SA"/>
          <w14:ligatures w14:val="none"/>
        </w:rPr>
        <w:t>Institutional theory</w:t>
      </w:r>
    </w:p>
    <w:p w14:paraId="397BE164">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As theorised by DiMaggio and Powell (1983) and by many researchers thereafter, Institutional Theory posits that organisations function in institutional environments that generate normative, regulatory, and cognitive pressures that influence organisational behaviours. It is these pressures that drive organisations towards conformity with institutional expectations in three separate ways, namely: coercive isomorphism, based on the requirements of regulations and legal obligations; normative isomorphism, based on professional practices, accreditation requirements, and the expectations of expert communities; and mimetic isomorphism, based on the practices of successful or prestigious organisations.</w:t>
      </w:r>
    </w:p>
    <w:p w14:paraId="462A683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 this context, this study uses Institutional Theory to explain why Ghanaian companies have embraced corporate governance frameworks and risk management systems. Coercive isomorphism manifests itself in the adoption of governance practices in reaction to the Companies Act, 2019, the Bank of Ghana Corporate Governance Directive, and other regulations. The adoption of international standards such as ISO 31000 for risk management exemplifies normative isomorphism. Mimetic isomorphism can be seen in the tendency of smaller companies to replicate the governance systems of larger, more prestigious organisations. However, Institutional Theory also aids in understanding why there is consistently a gap between formal governance adoption and substantive governance effectiveness.</w:t>
      </w:r>
    </w:p>
    <w:p w14:paraId="2DD79F82">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For this study, Institutional Theory provides the contextual logic for why examining the strategic, as opposed to merely the formal, adoption of governance and risk management is important: it is only when these frameworks are genuinely embedded as strategic tools rather than compliance necessities that their full potential to prevent fraud and drive organisational effectiveness can be realised.</w:t>
      </w:r>
    </w:p>
    <w:p w14:paraId="75213490">
      <w:pPr>
        <w:widowControl/>
        <w:suppressAutoHyphens/>
        <w:bidi w:val="0"/>
        <w:spacing w:before="280" w:after="140" w:line="480" w:lineRule="auto"/>
        <w:jc w:val="both"/>
        <w:outlineLvl w:val="0"/>
        <w:rPr>
          <w:rFonts w:ascii="Times New Roman" w:hAnsi="Times New Roman" w:eastAsia="Times New Roman" w:cs="Times New Roman"/>
          <w:b/>
          <w:bCs/>
          <w:color w:val="000000"/>
          <w:kern w:val="0"/>
          <w:sz w:val="24"/>
          <w:szCs w:val="24"/>
          <w:lang w:val="en-US" w:eastAsia="en-US" w:bidi="ar-SA"/>
          <w14:ligatures w14:val="none"/>
        </w:rPr>
      </w:pPr>
      <w:bookmarkStart w:id="35" w:name="__RefHeading___Toc3644_3370473891"/>
      <w:bookmarkEnd w:id="35"/>
      <w:r>
        <w:rPr>
          <w:rFonts w:ascii="Times New Roman" w:hAnsi="Times New Roman" w:eastAsia="Times New Roman" w:cs="Times New Roman"/>
          <w:b/>
          <w:bCs/>
          <w:color w:val="000000"/>
          <w:kern w:val="0"/>
          <w:sz w:val="24"/>
          <w:szCs w:val="24"/>
          <w:lang w:val="en-US" w:eastAsia="en-US" w:bidi="ar-SA"/>
          <w14:ligatures w14:val="none"/>
        </w:rPr>
        <w:t>Conceptual Framework of the Study</w:t>
      </w:r>
    </w:p>
    <w:p w14:paraId="240527B3">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framework proposes the following structure of relationships. Corporate governance practices are expected to have a significant positive impact on fraud prevention</w:t>
      </w:r>
      <w:r>
        <w:rPr>
          <w:rFonts w:hint="default" w:ascii="Times New Roman" w:hAnsi="Times New Roman" w:eastAsia="Times New Roman" w:cs="Times New Roman"/>
          <w:color w:val="auto"/>
          <w:kern w:val="0"/>
          <w:lang w:val="en-US"/>
          <w14:ligatures w14:val="none"/>
        </w:rPr>
        <w:t xml:space="preserve"> (Maulani et al., 2024)</w:t>
      </w:r>
      <w:r>
        <w:rPr>
          <w:rFonts w:ascii="Times New Roman" w:hAnsi="Times New Roman" w:eastAsia="Times New Roman" w:cs="Times New Roman"/>
          <w:color w:val="auto"/>
          <w:kern w:val="0"/>
          <w:lang w:val="en-US"/>
          <w14:ligatures w14:val="none"/>
        </w:rPr>
        <w:t>. Risk management systems are similarly expected to have a significant positive influence on fraud prevention</w:t>
      </w:r>
      <w:r>
        <w:rPr>
          <w:rFonts w:hint="default" w:ascii="Times New Roman" w:hAnsi="Times New Roman" w:eastAsia="Times New Roman" w:cs="Times New Roman"/>
          <w:color w:val="auto"/>
          <w:kern w:val="0"/>
          <w:lang w:val="en-US"/>
          <w14:ligatures w14:val="none"/>
        </w:rPr>
        <w:t xml:space="preserve"> (Sihombing et al., 2023) </w:t>
      </w:r>
      <w:r>
        <w:rPr>
          <w:rFonts w:ascii="Times New Roman" w:hAnsi="Times New Roman" w:eastAsia="Times New Roman" w:cs="Times New Roman"/>
          <w:color w:val="auto"/>
          <w:kern w:val="0"/>
          <w:lang w:val="en-US"/>
          <w14:ligatures w14:val="none"/>
        </w:rPr>
        <w:t>. Fraud prevention, as the mediating variable, is expected to have a significant positive effect on organisational effectiveness</w:t>
      </w:r>
      <w:r>
        <w:rPr>
          <w:rFonts w:hint="default" w:ascii="Times New Roman" w:hAnsi="Times New Roman" w:eastAsia="Times New Roman" w:cs="Times New Roman"/>
          <w:color w:val="auto"/>
          <w:kern w:val="0"/>
          <w:lang w:val="en-US"/>
          <w14:ligatures w14:val="none"/>
        </w:rPr>
        <w:t xml:space="preserve"> (Dharmawati et al., 2022)</w:t>
      </w:r>
      <w:r>
        <w:rPr>
          <w:rFonts w:ascii="Times New Roman" w:hAnsi="Times New Roman" w:eastAsia="Times New Roman" w:cs="Times New Roman"/>
          <w:color w:val="auto"/>
          <w:kern w:val="0"/>
          <w:lang w:val="en-US"/>
          <w14:ligatures w14:val="none"/>
        </w:rPr>
        <w:t>. Furthermore, fraud prevention is expected to mediate the relationships between corporate governance and organisational effectiveness, and between risk management and organisational effectiveness</w:t>
      </w:r>
      <w:r>
        <w:rPr>
          <w:rFonts w:hint="default" w:ascii="Times New Roman" w:hAnsi="Times New Roman" w:eastAsia="Times New Roman" w:cs="Times New Roman"/>
          <w:color w:val="auto"/>
          <w:kern w:val="0"/>
          <w:lang w:val="en-US"/>
          <w14:ligatures w14:val="none"/>
        </w:rPr>
        <w:t xml:space="preserve"> (Dharmawati et al., 2022)</w:t>
      </w:r>
      <w:r>
        <w:rPr>
          <w:rFonts w:ascii="Times New Roman" w:hAnsi="Times New Roman" w:eastAsia="Times New Roman" w:cs="Times New Roman"/>
          <w:color w:val="auto"/>
          <w:kern w:val="0"/>
          <w:lang w:val="en-US"/>
          <w14:ligatures w14:val="none"/>
        </w:rPr>
        <w:t>. This mediated model is consistent with the empirical evidence reviewed above, particularly the findings of Balaka et al. (2022), who established fraud prevention as the critical mediating pathway through which governance and risk management translate into organisational performance outcomes, and the findings of Herawaty and Hernando (2020), who demonstrated both direct and indirect governance-effectiveness pathways through fraud prevention.</w:t>
      </w:r>
    </w:p>
    <w:p w14:paraId="21DCE73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Figure 1 presents the conceptual framework of the study diagrammatically. The framework shows corporate governance and risk management as the independent variables, fraud prevention as the mediating variable, and organisational effectiveness as the dependent variable. The arrows indicate the hypothesised direction of the relationships between variables.</w:t>
      </w:r>
    </w:p>
    <w:p w14:paraId="61DF4D99">
      <w:pPr>
        <w:widowControl/>
        <w:suppressAutoHyphens/>
        <w:bidi w:val="0"/>
        <w:spacing w:before="120" w:after="160" w:line="480" w:lineRule="auto"/>
        <w:ind w:firstLine="720"/>
        <w:jc w:val="both"/>
        <w:rPr>
          <w:rFonts w:ascii="Times New Roman" w:hAnsi="Times New Roman" w:eastAsia="Times New Roman" w:cs="Times New Roman"/>
          <w:b/>
          <w:bCs/>
          <w:i w:val="0"/>
          <w:iCs w:val="0"/>
          <w:color w:val="auto"/>
          <w:kern w:val="0"/>
          <w:lang w:val="en-US"/>
          <w14:ligatures w14:val="none"/>
        </w:rPr>
      </w:pPr>
      <w:r>
        <w:rPr>
          <w:rFonts w:ascii="Times New Roman" w:hAnsi="Times New Roman" w:eastAsia="Times New Roman" w:cs="Times New Roman"/>
          <w:b/>
          <w:bCs/>
          <w:i w:val="0"/>
          <w:iCs w:val="0"/>
          <w:color w:val="auto"/>
          <w:kern w:val="0"/>
          <w:lang w:val="en-US"/>
          <w14:ligatures w14:val="none"/>
        </w:rPr>
        <w:t>Figure 1: Conceptual framework of the study</w:t>
      </w:r>
    </w:p>
    <w:p w14:paraId="68E9C094">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drawing>
          <wp:inline distT="0" distB="0" distL="114300" distR="114300">
            <wp:extent cx="5461000" cy="3206750"/>
            <wp:effectExtent l="0" t="0" r="0" b="6350"/>
            <wp:docPr id="1" name="Picture 1" descr="Conceptual_Framework_Re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nceptual_Framework_Revised"/>
                    <pic:cNvPicPr>
                      <a:picLocks noChangeAspect="1"/>
                    </pic:cNvPicPr>
                  </pic:nvPicPr>
                  <pic:blipFill>
                    <a:blip r:embed="rId9"/>
                    <a:stretch>
                      <a:fillRect/>
                    </a:stretch>
                  </pic:blipFill>
                  <pic:spPr>
                    <a:xfrm>
                      <a:off x="0" y="0"/>
                      <a:ext cx="5461000" cy="3206750"/>
                    </a:xfrm>
                    <a:prstGeom prst="rect">
                      <a:avLst/>
                    </a:prstGeom>
                  </pic:spPr>
                </pic:pic>
              </a:graphicData>
            </a:graphic>
          </wp:inline>
        </w:drawing>
      </w:r>
      <w:r>
        <w:rPr>
          <w:rFonts w:ascii="Times New Roman" w:hAnsi="Times New Roman" w:eastAsia="Times New Roman" w:cs="Times New Roman"/>
          <w:i/>
          <w:iCs/>
          <w:color w:val="auto"/>
          <w:kern w:val="0"/>
          <w:lang w:val="en-US"/>
          <w14:ligatures w14:val="none"/>
        </w:rPr>
        <w:t>Source: Author</w:t>
      </w:r>
      <w:r>
        <w:rPr>
          <w:rFonts w:hint="default" w:ascii="Times New Roman" w:hAnsi="Times New Roman" w:eastAsia="Times New Roman" w:cs="Times New Roman"/>
          <w:i/>
          <w:iCs/>
          <w:color w:val="auto"/>
          <w:kern w:val="0"/>
          <w:lang w:val="en-US"/>
          <w14:ligatures w14:val="none"/>
        </w:rPr>
        <w:t>’</w:t>
      </w:r>
      <w:r>
        <w:rPr>
          <w:rFonts w:ascii="Times New Roman" w:hAnsi="Times New Roman" w:eastAsia="Times New Roman" w:cs="Times New Roman"/>
          <w:i/>
          <w:iCs/>
          <w:color w:val="auto"/>
          <w:kern w:val="0"/>
          <w:lang w:val="en-US"/>
          <w14:ligatures w14:val="none"/>
        </w:rPr>
        <w:t>s construct (2026)</w:t>
      </w:r>
    </w:p>
    <w:p w14:paraId="42B5D335">
      <w:pPr>
        <w:widowControl/>
        <w:suppressAutoHyphens/>
        <w:bidi w:val="0"/>
        <w:spacing w:before="280" w:after="140" w:line="480" w:lineRule="auto"/>
        <w:jc w:val="both"/>
        <w:outlineLvl w:val="0"/>
        <w:rPr>
          <w:rFonts w:ascii="Times New Roman" w:hAnsi="Times New Roman" w:eastAsia="Times New Roman" w:cs="Times New Roman"/>
          <w:b/>
          <w:bCs/>
          <w:color w:val="000000"/>
          <w:kern w:val="0"/>
          <w:sz w:val="24"/>
          <w:szCs w:val="24"/>
          <w:lang w:val="en-US" w:eastAsia="en-US" w:bidi="ar-SA"/>
          <w14:ligatures w14:val="none"/>
        </w:rPr>
      </w:pPr>
      <w:bookmarkStart w:id="36" w:name="__RefHeading___Toc3646_3370473891"/>
      <w:bookmarkEnd w:id="36"/>
      <w:r>
        <w:rPr>
          <w:rFonts w:ascii="Times New Roman" w:hAnsi="Times New Roman" w:eastAsia="Times New Roman" w:cs="Times New Roman"/>
          <w:b/>
          <w:bCs/>
          <w:color w:val="000000"/>
          <w:kern w:val="0"/>
          <w:sz w:val="24"/>
          <w:szCs w:val="24"/>
          <w:lang w:val="en-US" w:eastAsia="en-US" w:bidi="ar-SA"/>
          <w14:ligatures w14:val="none"/>
        </w:rPr>
        <w:t>Hypothesis development</w:t>
      </w:r>
    </w:p>
    <w:p w14:paraId="1731435D">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This section presents the hypotheses of the study and explains how they are derived from the theoretical foundations and empirical literature reviewed in this chapter. </w:t>
      </w:r>
      <w:r>
        <w:rPr>
          <w:rFonts w:hint="default" w:ascii="Times New Roman" w:hAnsi="Times New Roman" w:eastAsia="Times New Roman" w:cs="Times New Roman"/>
          <w:color w:val="auto"/>
          <w:kern w:val="0"/>
          <w:lang w:val="en-US"/>
          <w14:ligatures w14:val="none"/>
        </w:rPr>
        <w:t>Seven</w:t>
      </w:r>
      <w:r>
        <w:rPr>
          <w:rFonts w:ascii="Times New Roman" w:hAnsi="Times New Roman" w:eastAsia="Times New Roman" w:cs="Times New Roman"/>
          <w:color w:val="auto"/>
          <w:kern w:val="0"/>
          <w:lang w:val="en-US"/>
          <w14:ligatures w14:val="none"/>
        </w:rPr>
        <w:t xml:space="preserve"> hypotheses are proposed in this study relating to the effects of corporate governance and risk management on fraud prevention, the effect of fraud prevention on organisational effectiveness, and the mediating role of fraud prevention in the relationships between corporate governance and risk management and organisational effectiveness.</w:t>
      </w:r>
    </w:p>
    <w:p w14:paraId="1366E253">
      <w:pPr>
        <w:widowControl/>
        <w:suppressAutoHyphens/>
        <w:bidi w:val="0"/>
        <w:spacing w:before="220" w:after="100" w:line="24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37" w:name="__RefHeading___Toc3658_3370473891"/>
      <w:bookmarkEnd w:id="37"/>
      <w:bookmarkStart w:id="38" w:name="__RefHeading___Toc3648_3370473891"/>
      <w:bookmarkEnd w:id="38"/>
      <w:r>
        <w:rPr>
          <w:rFonts w:ascii="Times New Roman" w:hAnsi="Times New Roman" w:eastAsia="Times New Roman" w:cs="Times New Roman"/>
          <w:b w:val="0"/>
          <w:bCs w:val="0"/>
          <w:color w:val="000000"/>
          <w:kern w:val="0"/>
          <w:sz w:val="24"/>
          <w:szCs w:val="24"/>
          <w:lang w:val="en-US" w:eastAsia="en-US" w:bidi="ar-SA"/>
          <w14:ligatures w14:val="none"/>
        </w:rPr>
        <w:t>Corporate governance and organisational effectiveness</w:t>
      </w:r>
    </w:p>
    <w:p w14:paraId="591E95DC">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Agency Theory holds that governance mechanisms such as board oversight, strategic clarity and codes of conduct exist fundamentally to align the interests of managers, as agents, with those of shareholders and other stakeholders, as principals, thereby reducing the agency costs that arise when managerial decisions diverge from stakeholder interests. Where governance structures function effectively, agency costs fall and decision-making, resource allocation and accountability improve, all of which are dimensions of organisational effectiveness in their own right, independent of any effect governance may have on fraud specifically. Herawaty and Hernando (2020) provide empirical support for this direct pathway, having identified a significant direct effect of corporate governance on organisational performance in addition to an indirect effect running through fraud prevention. On the basis of Agency Theory and this evidence, the study proposes the following hypothesis:</w:t>
      </w:r>
    </w:p>
    <w:p w14:paraId="6073342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i/>
          <w:iCs/>
          <w:color w:val="auto"/>
          <w:kern w:val="0"/>
          <w:lang w:val="en-US"/>
          <w14:ligatures w14:val="none"/>
        </w:rPr>
        <w:t>H1: Corporate governance practices have a significant positive effect on organisational effectiveness in Ghanaian firms.</w:t>
      </w:r>
    </w:p>
    <w:p w14:paraId="5BB3D8AB">
      <w:pPr>
        <w:widowControl/>
        <w:suppressAutoHyphens/>
        <w:bidi w:val="0"/>
        <w:spacing w:before="220" w:after="100" w:line="24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r>
        <w:rPr>
          <w:rFonts w:ascii="Times New Roman" w:hAnsi="Times New Roman" w:eastAsia="Times New Roman" w:cs="Times New Roman"/>
          <w:b w:val="0"/>
          <w:bCs w:val="0"/>
          <w:color w:val="000000"/>
          <w:kern w:val="0"/>
          <w:sz w:val="24"/>
          <w:szCs w:val="24"/>
          <w:lang w:val="en-US" w:eastAsia="en-US" w:bidi="ar-SA"/>
          <w14:ligatures w14:val="none"/>
        </w:rPr>
        <w:t>Risk management and organisational effectiveness</w:t>
      </w:r>
    </w:p>
    <w:p w14:paraId="05DC96F8">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Agency Theory similarly suggests that risk management systems, by systematically identifying and containing the operational, financial and compliance risks facing an organisation, protect and enhance the resource base over which managers exercise stewardship, thereby improving organisational outcomes beyond the specific channel of fraud control. Gakpo (2024) found that Ghanaian banks with more mature risk management systems and greater leadership involvement in risk governance recorded superior organisational performance, a relationship that reflects risk management's broader stewardship function rather than its fraud-prevention role alone. On the basis of Agency Theory and this evidence, the study proposes:</w:t>
      </w:r>
    </w:p>
    <w:p w14:paraId="36144B2E">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i/>
          <w:iCs/>
          <w:color w:val="auto"/>
          <w:kern w:val="0"/>
          <w:lang w:val="en-US"/>
          <w14:ligatures w14:val="none"/>
        </w:rPr>
        <w:t>H2: Risk management systems have a significant positive effect on organisational effectiveness in Ghanaian firms.</w:t>
      </w:r>
    </w:p>
    <w:p w14:paraId="2FFBCB52">
      <w:pPr>
        <w:widowControl/>
        <w:suppressAutoHyphens/>
        <w:bidi w:val="0"/>
        <w:spacing w:before="220" w:after="100" w:line="24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39" w:name="__RefHeading___Toc3648_3479720633"/>
      <w:bookmarkEnd w:id="39"/>
      <w:r>
        <w:rPr>
          <w:rFonts w:ascii="Times New Roman" w:hAnsi="Times New Roman" w:eastAsia="Times New Roman" w:cs="Times New Roman"/>
          <w:b w:val="0"/>
          <w:bCs w:val="0"/>
          <w:color w:val="000000"/>
          <w:kern w:val="0"/>
          <w:sz w:val="24"/>
          <w:szCs w:val="24"/>
          <w:lang w:val="en-US" w:eastAsia="en-US" w:bidi="ar-SA"/>
          <w14:ligatures w14:val="none"/>
        </w:rPr>
        <w:t>Corporate governance and fraud prevention</w:t>
      </w:r>
    </w:p>
    <w:p w14:paraId="11E80A6D">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Agency Theory holds that corporate governance mechanisms exist to reduce the agency problems that create the conditions in which fraud thrives, by aligning manager behaviour with stakeholder interests and reducing the opportunity and motivation for self-serving conduct. The empirical literature reviewed above provides consistent and robust support for this theoretical prediction. Herawaty and Hernando (2020), Hakki et al. (2025), Aisyah et al. (2023), Rohmatin et al. (2021), and Kulmie and Ibrahim (2024) all found significant positive relationships between governance quality and fraud prevention effectiveness across diverse organisational and national contexts. In Ghana specifically, the banking sector crisis of 2018 demonstrated with great clarity the fraud consequences of governance failure (Torku and Laryea, 2021; Musah et al., 2022), while Bank of Ghana (2025) data indicate that governance weaknesses remain a primary driver of the ongoing rise in fraud cases across sectors. On the basis of this evidence, the study proposes the following hypothesis:</w:t>
      </w:r>
    </w:p>
    <w:p w14:paraId="0236259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i/>
          <w:iCs/>
          <w:color w:val="auto"/>
          <w:kern w:val="0"/>
          <w:lang w:val="en-US"/>
          <w14:ligatures w14:val="none"/>
        </w:rPr>
        <w:t>H3: Corporate governance practices have a significant positive effect on fraud prevention in Ghanaian firms.</w:t>
      </w:r>
    </w:p>
    <w:p w14:paraId="372705EE">
      <w:pPr>
        <w:widowControl/>
        <w:suppressAutoHyphens/>
        <w:bidi w:val="0"/>
        <w:spacing w:before="220" w:after="100" w:line="24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40" w:name="__RefHeading___Toc3650_3479720633"/>
      <w:bookmarkEnd w:id="40"/>
      <w:r>
        <w:rPr>
          <w:rFonts w:ascii="Times New Roman" w:hAnsi="Times New Roman" w:eastAsia="Times New Roman" w:cs="Times New Roman"/>
          <w:b w:val="0"/>
          <w:bCs w:val="0"/>
          <w:color w:val="000000"/>
          <w:kern w:val="0"/>
          <w:sz w:val="24"/>
          <w:szCs w:val="24"/>
          <w:lang w:val="en-US" w:eastAsia="en-US" w:bidi="ar-SA"/>
          <w14:ligatures w14:val="none"/>
        </w:rPr>
        <w:t>Risk management and fraud prevention</w:t>
      </w:r>
    </w:p>
    <w:p w14:paraId="3BD254BD">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Fraud Triangle Theory identifies opportunity as the most accessible target for fraud prevention, and risk management systems are precisely the structures that reduce opportunity by identifying, assessing, and mitigating the vulnerabilities that create openings for fraud. Balaka et al. (2022) established empirically that risk management significantly enhances fraud prevention and that this fraud prevention function is the channel through which risk management ultimately drives performance. Alkhyyoon et al. (2023) found that ERM improves performance in non-fraudulent enterprises and that its effectiveness is moderated by the institutional and governance environment in which it operates. Gakpo (2021) demonstrated in the Ghanaian banking context that comprehensive operational risk management is positively and significantly associated with effective risk system implementation. On the basis of this evidence, the study proposes:</w:t>
      </w:r>
    </w:p>
    <w:p w14:paraId="0D4A0F5E">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i/>
          <w:iCs/>
          <w:color w:val="auto"/>
          <w:kern w:val="0"/>
          <w:lang w:val="en-US"/>
          <w14:ligatures w14:val="none"/>
        </w:rPr>
        <w:t>H4: Risk management systems have a significant positive effect on fraud prevention in Ghanaian firms.</w:t>
      </w:r>
    </w:p>
    <w:p w14:paraId="7C4D4DDD">
      <w:pPr>
        <w:widowControl/>
        <w:suppressAutoHyphens/>
        <w:bidi w:val="0"/>
        <w:spacing w:before="220" w:after="100" w:line="24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41" w:name="__RefHeading___Toc3652_3479720633"/>
      <w:bookmarkEnd w:id="41"/>
      <w:r>
        <w:rPr>
          <w:rFonts w:ascii="Times New Roman" w:hAnsi="Times New Roman" w:eastAsia="Times New Roman" w:cs="Times New Roman"/>
          <w:b w:val="0"/>
          <w:bCs w:val="0"/>
          <w:color w:val="000000"/>
          <w:kern w:val="0"/>
          <w:sz w:val="24"/>
          <w:szCs w:val="24"/>
          <w:lang w:val="en-US" w:eastAsia="en-US" w:bidi="ar-SA"/>
          <w14:ligatures w14:val="none"/>
        </w:rPr>
        <w:t>Fraud prevention and organisational effectiveness</w:t>
      </w:r>
    </w:p>
    <w:p w14:paraId="308BF692">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empirical literature establishes that fraud prevention is not merely a cost-control activity but a critical driver of organisational effectiveness. Balaka et al. (2022) demonstrated that fraud prevention is the critical mediating pathway between governance and risk management controls and organisational performance. Herawaty and Hernando (2020) showed that good corporate governance contributes to improved organisational outcomes precisely because it suppresses fraud. Herawaty et al. (2025) established that the combination of governance structures and ethical culture produces synergistic effects on transparency and public trust that directly translate into effectiveness advantages. In the Ghanaian context, the financial, reputational, and operational costs of fraud are substantial (Bank of Ghana, 2025; Musah et al., 2022), and organisations that succeed in preventing fraud are expected to demonstrate superior performance across multiple effectiveness dimensions. On the basis of this evidence, the study proposes:</w:t>
      </w:r>
    </w:p>
    <w:p w14:paraId="6B727BF1">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i/>
          <w:iCs/>
          <w:color w:val="auto"/>
          <w:kern w:val="0"/>
          <w:lang w:val="en-US"/>
          <w14:ligatures w14:val="none"/>
        </w:rPr>
        <w:t>H5: Fraud prevention has a significant positive effect on organisational effectiveness in Ghanaian firms.</w:t>
      </w:r>
    </w:p>
    <w:p w14:paraId="685012F8">
      <w:pPr>
        <w:widowControl/>
        <w:suppressAutoHyphens/>
        <w:bidi w:val="0"/>
        <w:spacing w:before="220" w:after="100" w:line="24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42" w:name="__RefHeading___Toc3654_3479720633"/>
      <w:bookmarkEnd w:id="42"/>
      <w:r>
        <w:rPr>
          <w:rFonts w:ascii="Times New Roman" w:hAnsi="Times New Roman" w:eastAsia="Times New Roman" w:cs="Times New Roman"/>
          <w:b w:val="0"/>
          <w:bCs w:val="0"/>
          <w:color w:val="000000"/>
          <w:kern w:val="0"/>
          <w:sz w:val="24"/>
          <w:szCs w:val="24"/>
          <w:lang w:val="en-US" w:eastAsia="en-US" w:bidi="ar-SA"/>
          <w14:ligatures w14:val="none"/>
        </w:rPr>
        <w:t>The mediating role of fraud prevention in the governance-effectiveness relationship</w:t>
      </w:r>
    </w:p>
    <w:p w14:paraId="61B9A585">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Agency Theory predicts that organisational performance improves when governance mechanisms succeed in containing the agency costs involved in managerial misconduct, of which fraud is the most expensive and disruptive form. The theoretical expectation that governance structures translate into performance outcomes is substantiated by the empirical evidence discussed above, especially the study by Balaka et al. (2022). The same was reported by Herawaty and Hernando (2020), who identified direct and indirect governance-effectiveness pathways, with the indirect pathway running through fraud prevention. Based on Agency Theory and evidence from a variety of organisational settings, these findings indicate that the mediation pathway needs to be explicitly tested to gain full insight into the role of governance in organisational effectiveness. Based on this evidence, the study hypothesises:</w:t>
      </w:r>
    </w:p>
    <w:p w14:paraId="2FBBA6FC">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i/>
          <w:iCs/>
          <w:color w:val="auto"/>
          <w:kern w:val="0"/>
          <w:lang w:val="en-US"/>
          <w14:ligatures w14:val="none"/>
        </w:rPr>
        <w:t>H6: Fraud prevention mediates the relationship between corporate governance practices and organisational effectiveness in Ghanaian firms.</w:t>
      </w:r>
    </w:p>
    <w:p w14:paraId="4304D3C9">
      <w:pPr>
        <w:widowControl/>
        <w:suppressAutoHyphens/>
        <w:bidi w:val="0"/>
        <w:spacing w:before="220" w:after="100" w:line="240" w:lineRule="auto"/>
        <w:ind w:firstLine="720"/>
        <w:jc w:val="both"/>
        <w:outlineLvl w:val="1"/>
        <w:rPr>
          <w:rFonts w:ascii="Times New Roman" w:hAnsi="Times New Roman" w:eastAsia="Times New Roman" w:cs="Times New Roman"/>
          <w:b w:val="0"/>
          <w:bCs w:val="0"/>
          <w:color w:val="000000"/>
          <w:kern w:val="0"/>
          <w:sz w:val="24"/>
          <w:szCs w:val="24"/>
          <w:lang w:val="en-US" w:eastAsia="en-US" w:bidi="ar-SA"/>
          <w14:ligatures w14:val="none"/>
        </w:rPr>
      </w:pPr>
      <w:bookmarkStart w:id="43" w:name="__RefHeading___Toc3656_3479720633"/>
      <w:bookmarkEnd w:id="43"/>
      <w:r>
        <w:rPr>
          <w:rFonts w:ascii="Times New Roman" w:hAnsi="Times New Roman" w:eastAsia="Times New Roman" w:cs="Times New Roman"/>
          <w:b w:val="0"/>
          <w:bCs w:val="0"/>
          <w:color w:val="000000"/>
          <w:kern w:val="0"/>
          <w:sz w:val="24"/>
          <w:szCs w:val="24"/>
          <w:lang w:val="en-US" w:eastAsia="en-US" w:bidi="ar-SA"/>
          <w14:ligatures w14:val="none"/>
        </w:rPr>
        <w:t>Mediating role of fraud prevention in the risk management-effectiveness relationship</w:t>
      </w:r>
    </w:p>
    <w:p w14:paraId="11892F4D">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Balaka et al. (2022) discovered that the performance advantages of risk management are significantly mediated through the fraud prevention mechanism, demonstrating empirically that risk management enhances organisational performance by building organisational resilience to fraud. Alkhyyoon et al. (2023) found that the impact of ERM on performance is moderated by the occurrence of fraud, which implies that risk management and fraud prevention are closely intertwined in their effects on organisational performance. The mediating pathway between risk management and effectiveness through fraud prevention is likely to be particularly strong in the Ghanaian context, given the high risk of fraud and the unsynchronised maturity of risk management across sectors. On the basis of this evidence, the study proposes:</w:t>
      </w:r>
    </w:p>
    <w:p w14:paraId="5A8F6D1F">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i/>
          <w:iCs/>
          <w:color w:val="auto"/>
          <w:kern w:val="0"/>
          <w:lang w:val="en-US"/>
          <w14:ligatures w14:val="none"/>
        </w:rPr>
        <w:t>H7: Fraud prevention mediates the relationship between risk management systems and organisational effectiveness in Ghanaian firms.</w:t>
      </w:r>
    </w:p>
    <w:p w14:paraId="79884DB9">
      <w:pPr>
        <w:widowControl/>
        <w:suppressAutoHyphens/>
        <w:bidi w:val="0"/>
        <w:spacing w:before="280" w:after="140" w:line="480" w:lineRule="auto"/>
        <w:jc w:val="both"/>
        <w:outlineLvl w:val="0"/>
        <w:rPr>
          <w:rFonts w:ascii="Times New Roman" w:hAnsi="Times New Roman" w:eastAsia="Times New Roman" w:cs="Times New Roman"/>
          <w:b/>
          <w:bCs/>
          <w:color w:val="000000"/>
          <w:kern w:val="0"/>
          <w:sz w:val="24"/>
          <w:szCs w:val="24"/>
          <w:lang w:val="en-US" w:eastAsia="en-US" w:bidi="ar-SA"/>
          <w14:ligatures w14:val="none"/>
        </w:rPr>
      </w:pPr>
      <w:r>
        <w:rPr>
          <w:rFonts w:ascii="Times New Roman" w:hAnsi="Times New Roman" w:eastAsia="Times New Roman" w:cs="Times New Roman"/>
          <w:b/>
          <w:bCs/>
          <w:color w:val="000000"/>
          <w:kern w:val="0"/>
          <w:sz w:val="24"/>
          <w:szCs w:val="24"/>
          <w:lang w:val="en-US" w:eastAsia="en-US" w:bidi="ar-SA"/>
          <w14:ligatures w14:val="none"/>
        </w:rPr>
        <w:t>Chapter Summary</w:t>
      </w:r>
    </w:p>
    <w:p w14:paraId="6D4F7258">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This chapter reviewed the theoretical and empirical literature relevant to the stud</w:t>
      </w:r>
      <w:r>
        <w:rPr>
          <w:rFonts w:hint="default" w:ascii="Times New Roman" w:hAnsi="Times New Roman" w:eastAsia="Times New Roman" w:cs="Times New Roman"/>
          <w:color w:val="auto"/>
          <w:kern w:val="0"/>
          <w:lang w:val="en-US"/>
          <w14:ligatures w14:val="none"/>
        </w:rPr>
        <w:t>y</w:t>
      </w:r>
      <w:r>
        <w:rPr>
          <w:rFonts w:ascii="Times New Roman" w:hAnsi="Times New Roman" w:eastAsia="Times New Roman" w:cs="Times New Roman"/>
          <w:color w:val="auto"/>
          <w:kern w:val="0"/>
          <w:lang w:val="en-US"/>
          <w14:ligatures w14:val="none"/>
        </w:rPr>
        <w:t>. The key concepts of corporate governance, risk management, fraud prevention, and organisational effectiveness were defined</w:t>
      </w:r>
      <w:r>
        <w:rPr>
          <w:rFonts w:hint="default" w:ascii="Times New Roman" w:hAnsi="Times New Roman" w:eastAsia="Times New Roman" w:cs="Times New Roman"/>
          <w:color w:val="auto"/>
          <w:kern w:val="0"/>
          <w:lang w:val="en-US"/>
          <w14:ligatures w14:val="none"/>
        </w:rPr>
        <w:t xml:space="preserve"> with each theoretical meaning</w:t>
      </w:r>
      <w:r>
        <w:rPr>
          <w:rFonts w:ascii="Times New Roman" w:hAnsi="Times New Roman" w:eastAsia="Times New Roman" w:cs="Times New Roman"/>
          <w:color w:val="auto"/>
          <w:kern w:val="0"/>
          <w:lang w:val="en-US"/>
          <w14:ligatures w14:val="none"/>
        </w:rPr>
        <w:t>.</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Agency Theory, the Fraud Triangle Theory, and Institutional Theory</w:t>
      </w:r>
      <w:r>
        <w:rPr>
          <w:rFonts w:hint="default" w:ascii="Times New Roman" w:hAnsi="Times New Roman" w:eastAsia="Times New Roman" w:cs="Times New Roman"/>
          <w:color w:val="auto"/>
          <w:kern w:val="0"/>
          <w:lang w:val="en-US"/>
          <w14:ligatures w14:val="none"/>
        </w:rPr>
        <w:t xml:space="preserve"> were defined.</w:t>
      </w:r>
      <w:r>
        <w:rPr>
          <w:rFonts w:ascii="Times New Roman" w:hAnsi="Times New Roman" w:eastAsia="Times New Roman" w:cs="Times New Roman"/>
          <w:color w:val="auto"/>
          <w:kern w:val="0"/>
          <w:lang w:val="en-US"/>
          <w14:ligatures w14:val="none"/>
        </w:rPr>
        <w:t xml:space="preserve"> The empirical literature was reviewed across four thematic areas: corporate governance and fraud prevention; risk management and fraud prevention; fraud prevention and organisational effectiveness; and the combined effects of corporate governance and risk management on organisational effectiveness.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Chapter Three will describe the methodology employed to test these hypotheses in selected Ghanaian firms.</w:t>
      </w:r>
    </w:p>
    <w:p w14:paraId="57286AF0">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77D25D16">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051C5B8F">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253D2206">
      <w:pPr>
        <w:widowControl/>
        <w:suppressAutoHyphens/>
        <w:bidi w:val="0"/>
        <w:spacing w:before="280" w:after="140" w:line="480" w:lineRule="auto"/>
        <w:jc w:val="left"/>
        <w:outlineLvl w:val="0"/>
        <w:rPr>
          <w:rFonts w:ascii="Times New Roman" w:hAnsi="Times New Roman" w:eastAsia="Times New Roman" w:cs="Times New Roman"/>
          <w:b/>
          <w:bCs/>
          <w:color w:val="000000"/>
          <w:kern w:val="0"/>
          <w:sz w:val="28"/>
          <w:szCs w:val="28"/>
          <w:lang w:val="en-US" w:eastAsia="en-US" w:bidi="ar-SA"/>
          <w14:ligatures w14:val="none"/>
        </w:rPr>
      </w:pPr>
      <w:bookmarkStart w:id="44" w:name="__RefHeading___Toc3660_3370473891"/>
      <w:bookmarkEnd w:id="44"/>
    </w:p>
    <w:p w14:paraId="39CBC686">
      <w:pPr>
        <w:widowControl/>
        <w:suppressAutoHyphens/>
        <w:bidi w:val="0"/>
        <w:spacing w:before="280" w:after="140" w:line="480" w:lineRule="auto"/>
        <w:jc w:val="left"/>
        <w:outlineLvl w:val="0"/>
        <w:rPr>
          <w:rFonts w:ascii="Times New Roman" w:hAnsi="Times New Roman" w:eastAsia="Times New Roman" w:cs="Times New Roman"/>
          <w:b/>
          <w:bCs/>
          <w:color w:val="000000"/>
          <w:kern w:val="0"/>
          <w:sz w:val="28"/>
          <w:szCs w:val="28"/>
          <w:lang w:val="en-US" w:eastAsia="en-US" w:bidi="ar-SA"/>
          <w14:ligatures w14:val="none"/>
        </w:rPr>
      </w:pPr>
    </w:p>
    <w:p w14:paraId="1CE197FB">
      <w:pPr>
        <w:widowControl/>
        <w:suppressAutoHyphens/>
        <w:bidi w:val="0"/>
        <w:spacing w:before="280" w:after="14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623BBE64">
      <w:pPr>
        <w:widowControl/>
        <w:suppressAutoHyphens/>
        <w:bidi w:val="0"/>
        <w:spacing w:before="280" w:after="14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5F4F23A2">
      <w:pPr>
        <w:widowControl/>
        <w:suppressAutoHyphens/>
        <w:bidi w:val="0"/>
        <w:spacing w:before="280" w:after="14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08150B8E">
      <w:pPr>
        <w:widowControl/>
        <w:suppressAutoHyphens/>
        <w:bidi w:val="0"/>
        <w:spacing w:before="280" w:after="14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p>
    <w:p w14:paraId="6E2CF174">
      <w:pPr>
        <w:widowControl/>
        <w:suppressAutoHyphens/>
        <w:bidi w:val="0"/>
        <w:spacing w:before="280" w:after="140" w:line="48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r>
        <w:rPr>
          <w:rFonts w:ascii="Times New Roman" w:hAnsi="Times New Roman" w:eastAsia="Times New Roman" w:cs="Times New Roman"/>
          <w:b/>
          <w:bCs/>
          <w:color w:val="000000"/>
          <w:kern w:val="0"/>
          <w:sz w:val="28"/>
          <w:szCs w:val="28"/>
          <w:lang w:val="en-US" w:eastAsia="en-US" w:bidi="ar-SA"/>
          <w14:ligatures w14:val="none"/>
        </w:rPr>
        <w:t>CHAPTER THREE</w:t>
      </w:r>
    </w:p>
    <w:p w14:paraId="07EA5431">
      <w:pPr>
        <w:widowControl/>
        <w:suppressAutoHyphens/>
        <w:bidi w:val="0"/>
        <w:spacing w:before="280" w:after="140" w:line="480" w:lineRule="auto"/>
        <w:jc w:val="center"/>
        <w:outlineLvl w:val="0"/>
        <w:rPr>
          <w:rFonts w:ascii="Times New Roman" w:hAnsi="Times New Roman" w:eastAsia="Times New Roman" w:cs="Times New Roman"/>
          <w:color w:val="auto"/>
          <w:kern w:val="0"/>
          <w:lang w:val="en-US"/>
          <w14:ligatures w14:val="none"/>
        </w:rPr>
      </w:pPr>
      <w:bookmarkStart w:id="45" w:name="__RefHeading___Toc3662_3370473891"/>
      <w:bookmarkEnd w:id="45"/>
      <w:r>
        <w:rPr>
          <w:rFonts w:ascii="Times New Roman" w:hAnsi="Times New Roman" w:eastAsia="Times New Roman" w:cs="Times New Roman"/>
          <w:b/>
          <w:bCs/>
          <w:color w:val="000000"/>
          <w:kern w:val="0"/>
          <w:sz w:val="28"/>
          <w:szCs w:val="28"/>
          <w:lang w:val="en-US" w:eastAsia="en-US" w:bidi="ar-SA"/>
          <w14:ligatures w14:val="none"/>
        </w:rPr>
        <w:t>RESEARCH METHODOLOGY</w:t>
      </w:r>
    </w:p>
    <w:p w14:paraId="2BA9F506">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46" w:name="__RefHeading___Toc3664_3370473891"/>
      <w:bookmarkEnd w:id="46"/>
      <w:r>
        <w:rPr>
          <w:rFonts w:ascii="Times New Roman" w:hAnsi="Times New Roman" w:eastAsia="Times New Roman" w:cs="Times New Roman"/>
          <w:b/>
          <w:bCs/>
          <w:color w:val="000000"/>
          <w:kern w:val="0"/>
          <w:sz w:val="24"/>
          <w:szCs w:val="24"/>
          <w:lang w:val="en-US" w:eastAsia="en-US" w:bidi="ar-SA"/>
          <w14:ligatures w14:val="none"/>
        </w:rPr>
        <w:t>Introduction</w:t>
      </w:r>
    </w:p>
    <w:p w14:paraId="26E85DEB">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Research methods are the strategies, processes and techniques utilised in collecting and analysing data to uncover new information, create better understanding of a subject matter, or address the research objectives of a scientific study (Saunders, Lewis and Thornhill, 2019). This study sought to examine corporate governance and risk management as strategic tools for fraud prevention and organisational effectiveness in selected Ghanaian firms, and to investigate the mediating role of fraud prevention in the rellationship between corporate governance and organisational effectiveness on the one hand, and between risk management and organisational effectiveness on the other hand. To achieve this overall objective, the researcher employed a number of research methods and approaches to design, collect and analyse data to answer the three research questions and test the seven hypotheses developed in Chapter Two. This chapter presents a detailed account of the methodology applied to this study. The research approach and design are explained, the target population, sample size and sampling techniques described, and the data collection instrument and procedure discussed.</w:t>
      </w:r>
    </w:p>
    <w:p w14:paraId="7E8C45F2">
      <w:pPr>
        <w:widowControl/>
        <w:suppressAutoHyphens/>
        <w:bidi w:val="0"/>
        <w:spacing w:before="120" w:after="100" w:line="480" w:lineRule="auto"/>
        <w:ind w:firstLine="720"/>
        <w:jc w:val="both"/>
        <w:rPr>
          <w:rFonts w:ascii="Times New Roman" w:hAnsi="Times New Roman" w:eastAsia="Times New Roman" w:cs="Times New Roman"/>
          <w:color w:val="auto"/>
          <w:kern w:val="0"/>
          <w:lang w:val="en-US"/>
          <w14:ligatures w14:val="none"/>
        </w:rPr>
      </w:pPr>
    </w:p>
    <w:p w14:paraId="369DE492">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47" w:name="__RefHeading___Toc3666_3370473891"/>
      <w:bookmarkEnd w:id="47"/>
      <w:r>
        <w:rPr>
          <w:rFonts w:ascii="Times New Roman" w:hAnsi="Times New Roman" w:eastAsia="Times New Roman" w:cs="Times New Roman"/>
          <w:b/>
          <w:bCs/>
          <w:color w:val="000000"/>
          <w:kern w:val="0"/>
          <w:sz w:val="24"/>
          <w:szCs w:val="24"/>
          <w:lang w:val="en-US" w:eastAsia="en-US" w:bidi="ar-SA"/>
          <w14:ligatures w14:val="none"/>
        </w:rPr>
        <w:t>Research design</w:t>
      </w:r>
    </w:p>
    <w:p w14:paraId="3CEC7E23">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Research d</w:t>
      </w:r>
      <w:r>
        <w:rPr>
          <w:rFonts w:ascii="Times New Roman" w:hAnsi="Times New Roman" w:eastAsia="Times New Roman" w:cs="Times New Roman"/>
          <w:color w:val="auto"/>
          <w:kern w:val="0"/>
          <w:lang w:val="en-US"/>
          <w14:ligatures w14:val="none"/>
        </w:rPr>
        <w:t>esign refers to the processes that underpin and govern a study</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s selection of research methodologies (Creswell </w:t>
      </w:r>
      <w:r>
        <w:rPr>
          <w:rFonts w:hint="default" w:ascii="Times New Roman" w:hAnsi="Times New Roman" w:eastAsia="Times New Roman" w:cs="Times New Roman"/>
          <w:color w:val="auto"/>
          <w:kern w:val="0"/>
          <w:lang w:val="en-US"/>
          <w14:ligatures w14:val="none"/>
        </w:rPr>
        <w:t>&amp;</w:t>
      </w:r>
      <w:r>
        <w:rPr>
          <w:rFonts w:ascii="Times New Roman" w:hAnsi="Times New Roman" w:eastAsia="Times New Roman" w:cs="Times New Roman"/>
          <w:color w:val="auto"/>
          <w:kern w:val="0"/>
          <w:lang w:val="en-US"/>
          <w14:ligatures w14:val="none"/>
        </w:rPr>
        <w:t xml:space="preserve"> Creswell, 20</w:t>
      </w:r>
      <w:r>
        <w:rPr>
          <w:rFonts w:hint="default" w:ascii="Times New Roman" w:hAnsi="Times New Roman" w:eastAsia="Times New Roman" w:cs="Times New Roman"/>
          <w:color w:val="auto"/>
          <w:kern w:val="0"/>
          <w:lang w:val="en-US"/>
          <w14:ligatures w14:val="none"/>
        </w:rPr>
        <w:t>23</w:t>
      </w:r>
      <w:r>
        <w:rPr>
          <w:rFonts w:ascii="Times New Roman" w:hAnsi="Times New Roman" w:eastAsia="Times New Roman" w:cs="Times New Roman"/>
          <w:color w:val="auto"/>
          <w:kern w:val="0"/>
          <w:lang w:val="en-US"/>
          <w14:ligatures w14:val="none"/>
        </w:rPr>
        <w:t xml:space="preserve">). Research designs broadly fall into three categories, namely quantitative, qualitative, and mixed methods designs, and the selection among them is guided by the nature of the research questions, the type of data required, and the analytical approach to be applied (Bhattacherjee, 2012; Saunders et al., 2019). </w:t>
      </w:r>
    </w:p>
    <w:p w14:paraId="0C10CDDD">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This </w:t>
      </w:r>
      <w:r>
        <w:rPr>
          <w:rFonts w:hint="default" w:ascii="Times New Roman" w:hAnsi="Times New Roman" w:eastAsia="Times New Roman" w:cs="Times New Roman"/>
          <w:color w:val="auto"/>
          <w:kern w:val="0"/>
          <w:lang w:val="en-US"/>
          <w14:ligatures w14:val="none"/>
        </w:rPr>
        <w:t>study employs</w:t>
      </w:r>
      <w:r>
        <w:rPr>
          <w:rFonts w:ascii="Times New Roman" w:hAnsi="Times New Roman" w:eastAsia="Times New Roman" w:cs="Times New Roman"/>
          <w:color w:val="auto"/>
          <w:kern w:val="0"/>
          <w:lang w:val="en-US"/>
          <w14:ligatures w14:val="none"/>
        </w:rPr>
        <w:t xml:space="preserve"> a quantitative research approach</w:t>
      </w:r>
      <w:r>
        <w:rPr>
          <w:rFonts w:hint="default" w:ascii="Times New Roman" w:hAnsi="Times New Roman" w:eastAsia="Times New Roman" w:cs="Times New Roman"/>
          <w:color w:val="auto"/>
          <w:kern w:val="0"/>
          <w:lang w:val="en-US"/>
          <w14:ligatures w14:val="none"/>
        </w:rPr>
        <w:t xml:space="preserve"> to</w:t>
      </w:r>
      <w:r>
        <w:rPr>
          <w:rFonts w:ascii="Times New Roman" w:hAnsi="Times New Roman" w:eastAsia="Times New Roman" w:cs="Times New Roman"/>
          <w:color w:val="auto"/>
          <w:kern w:val="0"/>
          <w:lang w:val="en-US"/>
          <w14:ligatures w14:val="none"/>
        </w:rPr>
        <w:t xml:space="preserve"> test</w:t>
      </w:r>
      <w:r>
        <w:rPr>
          <w:rFonts w:hint="default" w:ascii="Times New Roman" w:hAnsi="Times New Roman" w:eastAsia="Times New Roman" w:cs="Times New Roman"/>
          <w:color w:val="auto"/>
          <w:kern w:val="0"/>
          <w:lang w:val="en-US"/>
          <w14:ligatures w14:val="none"/>
        </w:rPr>
        <w:t xml:space="preserve"> the</w:t>
      </w:r>
      <w:r>
        <w:rPr>
          <w:rFonts w:ascii="Times New Roman" w:hAnsi="Times New Roman" w:eastAsia="Times New Roman" w:cs="Times New Roman"/>
          <w:color w:val="auto"/>
          <w:kern w:val="0"/>
          <w:lang w:val="en-US"/>
          <w14:ligatures w14:val="none"/>
        </w:rPr>
        <w:t xml:space="preserve"> seven hypotheses that require measuring the strength, direction and significance of relationships between corporate governance, risk management, fraud prevention and organisational effectiveness (Saunders, Lewis and Thornhill, 2019; Bhattacherjee, 2012). This choice reflects a positivist philosophical stance, under which objectively measuring and testing hypotheses on a representative sample allows findings to be generalised to a broader population (Bryman, 2016).</w:t>
      </w:r>
    </w:p>
    <w:p w14:paraId="1C4F1105">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Within this tradition, the study combines a descriptive design, used to profile respondents and firms and describe the current state of the four study constructs, with an explanatory design, used to test the hypothesised direct and mediating relationships between them (Creswell </w:t>
      </w:r>
      <w:r>
        <w:rPr>
          <w:rFonts w:hint="default" w:ascii="Times New Roman" w:hAnsi="Times New Roman" w:eastAsia="Times New Roman" w:cs="Times New Roman"/>
          <w:color w:val="auto"/>
          <w:kern w:val="0"/>
          <w:lang w:val="en-US"/>
          <w14:ligatures w14:val="none"/>
        </w:rPr>
        <w:t>&amp;</w:t>
      </w:r>
      <w:r>
        <w:rPr>
          <w:rFonts w:ascii="Times New Roman" w:hAnsi="Times New Roman" w:eastAsia="Times New Roman" w:cs="Times New Roman"/>
          <w:color w:val="auto"/>
          <w:kern w:val="0"/>
          <w:lang w:val="en-US"/>
          <w14:ligatures w14:val="none"/>
        </w:rPr>
        <w:t xml:space="preserve"> Creswell, 20</w:t>
      </w:r>
      <w:r>
        <w:rPr>
          <w:rFonts w:hint="default" w:ascii="Times New Roman" w:hAnsi="Times New Roman" w:eastAsia="Times New Roman" w:cs="Times New Roman"/>
          <w:color w:val="auto"/>
          <w:kern w:val="0"/>
          <w:lang w:val="en-US"/>
          <w14:ligatures w14:val="none"/>
        </w:rPr>
        <w:t>23</w:t>
      </w:r>
      <w:r>
        <w:rPr>
          <w:rFonts w:ascii="Times New Roman" w:hAnsi="Times New Roman" w:eastAsia="Times New Roman" w:cs="Times New Roman"/>
          <w:color w:val="auto"/>
          <w:kern w:val="0"/>
          <w:lang w:val="en-US"/>
          <w14:ligatures w14:val="none"/>
        </w:rPr>
        <w:t>). Data are collected from all respondents at a single point in time, a cross-sectional design consistent with the objective of understanding the current state of these relationships across a meaningful cross-section of Ghanaian firms</w:t>
      </w:r>
    </w:p>
    <w:p w14:paraId="1428CC3A">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48" w:name="__RefHeading___Toc3668_3370473891"/>
      <w:bookmarkEnd w:id="48"/>
      <w:r>
        <w:rPr>
          <w:rFonts w:ascii="Times New Roman" w:hAnsi="Times New Roman" w:eastAsia="Times New Roman" w:cs="Times New Roman"/>
          <w:b/>
          <w:bCs/>
          <w:color w:val="000000"/>
          <w:kern w:val="0"/>
          <w:sz w:val="24"/>
          <w:szCs w:val="24"/>
          <w:lang w:val="en-US" w:eastAsia="en-US" w:bidi="ar-SA"/>
          <w14:ligatures w14:val="none"/>
        </w:rPr>
        <w:t>Research population</w:t>
      </w:r>
    </w:p>
    <w:p w14:paraId="449EB868">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A research population is the complete set of individuals, units or entities that share the characteristics relevant to a study and to which the researcher seeks to generalise the findings (Kilungu, 2015). </w:t>
      </w:r>
    </w:p>
    <w:p w14:paraId="53762FC9">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study population would include employees holding managerial and professional positions in the chosen Ghanaian companies in four industries that include financial services, energy, as well as public procurement and telecommunication and information and communication technology. The four industries of application were carefully chosen because they have all been both noted in the literature and in regulatory reports as being highly vulnerable to fraud, governance failures, and risk management failures (Torku and Laryea, 2021; Bank of Ghana, 2025; Musah et al., 2022). The fraud incidence in the financial services industry in Ghana is the highest in terms of volume and value, as observed in the 2025 fraud statistics report published by the Bank of Ghana. The energy industry and public procurement have been marred by governance scandals and corruption claims</w:t>
      </w:r>
      <w:r>
        <w:rPr>
          <w:rFonts w:hint="default" w:ascii="Times New Roman" w:hAnsi="Times New Roman" w:eastAsia="Times New Roman" w:cs="Times New Roman"/>
          <w:color w:val="auto"/>
          <w:kern w:val="0"/>
          <w:lang w:val="en-US"/>
          <w14:ligatures w14:val="none"/>
        </w:rPr>
        <w:t xml:space="preserve"> (Grassco, 2024)</w:t>
      </w:r>
      <w:r>
        <w:rPr>
          <w:rFonts w:ascii="Times New Roman" w:hAnsi="Times New Roman" w:eastAsia="Times New Roman" w:cs="Times New Roman"/>
          <w:color w:val="auto"/>
          <w:kern w:val="0"/>
          <w:lang w:val="en-US"/>
          <w14:ligatures w14:val="none"/>
        </w:rPr>
        <w:t>. The telecommunications and ICT sector has seen increasing concerns around mobile money fraud, weak consumer protection and poor regulatory compliance</w:t>
      </w:r>
      <w:r>
        <w:rPr>
          <w:rFonts w:hint="default" w:ascii="Times New Roman" w:hAnsi="Times New Roman" w:eastAsia="Times New Roman" w:cs="Times New Roman"/>
          <w:color w:val="auto"/>
          <w:kern w:val="0"/>
          <w:lang w:val="en-US"/>
          <w14:ligatures w14:val="none"/>
        </w:rPr>
        <w:t xml:space="preserve"> (Asongu, 2023)</w:t>
      </w:r>
      <w:r>
        <w:rPr>
          <w:rFonts w:ascii="Times New Roman" w:hAnsi="Times New Roman" w:eastAsia="Times New Roman" w:cs="Times New Roman"/>
          <w:color w:val="auto"/>
          <w:kern w:val="0"/>
          <w:lang w:val="en-US"/>
          <w14:ligatures w14:val="none"/>
        </w:rPr>
        <w:t>. By targeting these four sectors, this study is able to examine the governance-fraud prevention-effectiveness relationship across a range of institutional contexts that reflect the broader diversity of the Ghanaian corporate landscape.</w:t>
      </w:r>
    </w:p>
    <w:p w14:paraId="30232DE8">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focus of the study is on employees who are involved in, or have meaningful insight into, corporate governance, risk management and fraud prevention activities in their respective organisations. This includes senior management, middle-level managers, risk and compliance officers, internal audit staff, and finance professionals. These categories of staff possess the knowledge and experience necessary to provide reliable and valid assessments of the governance, risk management and fraud prevention variables measured in this study.</w:t>
      </w:r>
    </w:p>
    <w:p w14:paraId="469D0256">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49" w:name="__RefHeading___Toc3670_3370473891"/>
      <w:bookmarkEnd w:id="49"/>
      <w:r>
        <w:rPr>
          <w:rFonts w:ascii="Times New Roman" w:hAnsi="Times New Roman" w:eastAsia="Times New Roman" w:cs="Times New Roman"/>
          <w:b/>
          <w:bCs/>
          <w:color w:val="000000"/>
          <w:kern w:val="0"/>
          <w:sz w:val="24"/>
          <w:szCs w:val="24"/>
          <w:lang w:val="en-US" w:eastAsia="en-US" w:bidi="ar-SA"/>
          <w14:ligatures w14:val="none"/>
        </w:rPr>
        <w:t>Sample and sampling procedure</w:t>
      </w:r>
    </w:p>
    <w:p w14:paraId="2764150E">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Alvi (2016) defined a sample as a subset of the target population selected for study by systematic means. The sample selection approach chosen has a considerable effect on the accuracy of the findings and the extent to which conclusions can be generalised from the sample to the broader population. Sampling choices in this research are also determined at two levels, namely, the choice of organisations to be used in the study and the choice of respondents within these organisations.</w:t>
      </w:r>
    </w:p>
    <w:p w14:paraId="42A450E6">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Using purposive sampling, firms in the four target sectors are to be chosen at the organisational level. Purposive sampling is controversial as it entails identification of cases employing intentional selection, which is based on the requirements of the research objectives (Maxwell, 1996). At the level of individual respondent, purposive sampling is also to be utilised to select the respondents according to their positions and suitability of their positions to the study variables. Purposive sampling is appropriate</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because the study requires information specific to the field and expertise of a particular segment of the organisational population (Saunders et al., 2019). As such, the respondents selected are deemed to possess the accurate knowledge of the variables investigated in this study (Malhotra et al., 2023).</w:t>
      </w:r>
    </w:p>
    <w:p w14:paraId="2576FE9B">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target sample size was set at a minimum of 70 usable responses, which is appropriate for a study of this type and consistent with the guidelines for undergraduate and postgraduate research involving structural and correlational analysis.</w:t>
      </w:r>
    </w:p>
    <w:p w14:paraId="2EBBBAF7">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50" w:name="__RefHeading___Toc3672_3370473891"/>
      <w:bookmarkEnd w:id="50"/>
      <w:r>
        <w:rPr>
          <w:rFonts w:ascii="Times New Roman" w:hAnsi="Times New Roman" w:eastAsia="Times New Roman" w:cs="Times New Roman"/>
          <w:b/>
          <w:bCs/>
          <w:color w:val="000000"/>
          <w:kern w:val="0"/>
          <w:sz w:val="24"/>
          <w:szCs w:val="24"/>
          <w:lang w:val="en-US" w:eastAsia="en-US" w:bidi="ar-SA"/>
          <w14:ligatures w14:val="none"/>
        </w:rPr>
        <w:t>Data Collection</w:t>
      </w:r>
    </w:p>
    <w:p w14:paraId="383BB008">
      <w:pPr>
        <w:widowControl/>
        <w:suppressAutoHyphens/>
        <w:bidi w:val="0"/>
        <w:spacing w:before="160" w:after="80" w:line="480" w:lineRule="auto"/>
        <w:ind w:firstLine="720"/>
        <w:jc w:val="both"/>
        <w:outlineLvl w:val="2"/>
        <w:rPr>
          <w:rFonts w:ascii="Times New Roman" w:hAnsi="Times New Roman" w:eastAsia="Times New Roman" w:cs="Times New Roman"/>
          <w:b/>
          <w:bCs/>
          <w:i/>
          <w:iCs/>
          <w:color w:val="000000"/>
          <w:kern w:val="0"/>
          <w:sz w:val="24"/>
          <w:szCs w:val="24"/>
          <w:lang w:val="en-US" w:eastAsia="en-US" w:bidi="ar-SA"/>
          <w14:ligatures w14:val="none"/>
        </w:rPr>
      </w:pPr>
      <w:bookmarkStart w:id="51" w:name="__RefHeading___Toc3674_3370473891"/>
      <w:bookmarkEnd w:id="51"/>
      <w:r>
        <w:rPr>
          <w:rFonts w:ascii="Times New Roman" w:hAnsi="Times New Roman" w:eastAsia="Times New Roman" w:cs="Times New Roman"/>
          <w:b/>
          <w:bCs/>
          <w:i/>
          <w:iCs/>
          <w:color w:val="000000"/>
          <w:kern w:val="0"/>
          <w:sz w:val="24"/>
          <w:szCs w:val="24"/>
          <w:lang w:val="en-US" w:eastAsia="en-US" w:bidi="ar-SA"/>
          <w14:ligatures w14:val="none"/>
        </w:rPr>
        <w:t>Research Instruments</w:t>
      </w:r>
    </w:p>
    <w:p w14:paraId="68DA85EB">
      <w:pPr>
        <w:widowControl/>
        <w:suppressAutoHyphens/>
        <w:bidi w:val="0"/>
        <w:spacing w:before="120" w:after="12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research adopted a structured questionnaire as its main tool of data collection. Although not all, Blumberg</w:t>
      </w:r>
      <w:r>
        <w:rPr>
          <w:rFonts w:hint="default" w:ascii="Times New Roman" w:hAnsi="Times New Roman" w:eastAsia="Times New Roman" w:cs="Times New Roman"/>
          <w:color w:val="auto"/>
          <w:kern w:val="0"/>
          <w:lang w:val="en-US"/>
          <w14:ligatures w14:val="none"/>
        </w:rPr>
        <w:t xml:space="preserve"> et al.</w:t>
      </w:r>
      <w:r>
        <w:rPr>
          <w:rFonts w:ascii="Times New Roman" w:hAnsi="Times New Roman" w:eastAsia="Times New Roman" w:cs="Times New Roman"/>
          <w:color w:val="auto"/>
          <w:kern w:val="0"/>
          <w:lang w:val="en-US"/>
          <w14:ligatures w14:val="none"/>
        </w:rPr>
        <w:t xml:space="preserve"> (2014) indicate that self-administered survey questionnaires consist of many benefits such as the saving of costs, time, sameness, anonymity, and breadth of topic. The benefits are especially applicable to this study that will require employees to provide opinions on sensitive subjects such as fraud risk, good governance, and quality internal controls on which the respondents may hesitate to be open in the face to face mode of communication. The structured questionnaire provides a secure and similar atmosphere where the respondents will give their estimates sincerely.</w:t>
      </w:r>
    </w:p>
    <w:p w14:paraId="195E45FF">
      <w:pPr>
        <w:widowControl/>
        <w:suppressAutoHyphens/>
        <w:bidi w:val="0"/>
        <w:spacing w:before="120" w:after="120" w:line="48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color w:val="auto"/>
          <w:kern w:val="0"/>
          <w:lang w:val="en-US"/>
          <w14:ligatures w14:val="none"/>
        </w:rPr>
        <w:t>The questionnaire will be separated into five parts. Section A deals with demographic data of the respondents, and firms, such as gender, age, education degree, tenure of service, organisational level and sector. The four substantive constructs of the study, i.e., corporate governance, risk management, fraud prevention and organisational effectiveness are discussed in Sections B to E under validated, adapted measures scale based on the existing literature. Measures of all substantive items are made on a five-point Likert scale with an answer category that goes from 1(Strongly Disagree) to 5(Strongly Agree). The response format of a Likert type is proven in the literature of social science research as a valid way of encompassing the perceptions, attitudes and evaluations of the respondents toward complex organisational phenomena (Krosnick, 2018).</w:t>
      </w:r>
    </w:p>
    <w:p w14:paraId="4B43CBAD">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52" w:name="__RefHeading___Toc3676_3370473891"/>
      <w:bookmarkEnd w:id="52"/>
      <w:r>
        <w:rPr>
          <w:rFonts w:ascii="Times New Roman" w:hAnsi="Times New Roman" w:eastAsia="Times New Roman" w:cs="Times New Roman"/>
          <w:b/>
          <w:bCs/>
          <w:color w:val="000000"/>
          <w:kern w:val="0"/>
          <w:sz w:val="24"/>
          <w:szCs w:val="24"/>
          <w:lang w:val="en-US" w:eastAsia="en-US" w:bidi="ar-SA"/>
          <w14:ligatures w14:val="none"/>
        </w:rPr>
        <w:t>Operationalisation of variables</w:t>
      </w:r>
    </w:p>
    <w:p w14:paraId="45DCC582">
      <w:pPr>
        <w:widowControl/>
        <w:suppressAutoHyphens/>
        <w:bidi w:val="0"/>
        <w:spacing w:before="120" w:after="200" w:line="48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study centres on four main variables: corporate governance as the first independent variable, risk management as the second independent variable, fraud prevention as the mediating variable, and organisational effectiveness as the dependent variable. Each variable is operationalised through a set of validated items adapted from established measurement instruments in the literature. The operationalisation of each variable is described below.</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All items are rated on a five-point Likert scale.</w:t>
      </w:r>
    </w:p>
    <w:p w14:paraId="0E49143E">
      <w:pPr>
        <w:widowControl/>
        <w:suppressAutoHyphens/>
        <w:bidi w:val="0"/>
        <w:spacing w:before="160" w:after="80" w:line="480" w:lineRule="auto"/>
        <w:jc w:val="both"/>
        <w:outlineLvl w:val="2"/>
        <w:rPr>
          <w:rFonts w:ascii="Times New Roman" w:hAnsi="Times New Roman" w:eastAsia="Times New Roman" w:cs="Times New Roman"/>
          <w:b/>
          <w:bCs/>
          <w:i/>
          <w:iCs/>
          <w:color w:val="000000"/>
          <w:kern w:val="0"/>
          <w:sz w:val="24"/>
          <w:szCs w:val="24"/>
          <w:lang w:val="en-US" w:eastAsia="en-US" w:bidi="ar-SA"/>
          <w14:ligatures w14:val="none"/>
        </w:rPr>
      </w:pPr>
      <w:bookmarkStart w:id="53" w:name="__RefHeading___Toc3678_3370473891"/>
      <w:bookmarkEnd w:id="53"/>
      <w:r>
        <w:rPr>
          <w:rFonts w:ascii="Times New Roman" w:hAnsi="Times New Roman" w:eastAsia="Times New Roman" w:cs="Times New Roman"/>
          <w:b/>
          <w:bCs/>
          <w:i/>
          <w:iCs/>
          <w:color w:val="000000"/>
          <w:kern w:val="0"/>
          <w:sz w:val="24"/>
          <w:szCs w:val="24"/>
          <w:lang w:val="en-US" w:eastAsia="en-US" w:bidi="ar-SA"/>
          <w14:ligatures w14:val="none"/>
        </w:rPr>
        <w:t>Independent variable 1: Corporate governance</w:t>
      </w:r>
    </w:p>
    <w:p w14:paraId="6A6FB5E2">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Corporate governance is measured using thirteen items adapted from two validated instruments, namely the governance scale used by Rehman and Hashim (2020) and the governance measurement approach developed by Mohd-Sanusi et al. (2015). The items are organised across three sub-dimensions. The first sub-dimension, Strategic Management, is measured by </w:t>
      </w:r>
      <w:r>
        <w:rPr>
          <w:rFonts w:hint="default" w:ascii="Times New Roman" w:hAnsi="Times New Roman" w:eastAsia="Times New Roman" w:cs="Times New Roman"/>
          <w:color w:val="auto"/>
          <w:kern w:val="0"/>
          <w:lang w:val="en-US"/>
          <w14:ligatures w14:val="none"/>
        </w:rPr>
        <w:t xml:space="preserve">three </w:t>
      </w:r>
      <w:r>
        <w:rPr>
          <w:rFonts w:ascii="Times New Roman" w:hAnsi="Times New Roman" w:eastAsia="Times New Roman" w:cs="Times New Roman"/>
          <w:color w:val="auto"/>
          <w:kern w:val="0"/>
          <w:lang w:val="en-US"/>
          <w14:ligatures w14:val="none"/>
        </w:rPr>
        <w:t>items</w:t>
      </w:r>
      <w:r>
        <w:rPr>
          <w:rFonts w:hint="default" w:ascii="Times New Roman" w:hAnsi="Times New Roman" w:eastAsia="Times New Roman" w:cs="Times New Roman"/>
          <w:color w:val="auto"/>
          <w:kern w:val="0"/>
          <w:lang w:val="en-US"/>
          <w14:ligatures w14:val="none"/>
        </w:rPr>
        <w:t xml:space="preserve"> CG1 to CG3 (</w:t>
      </w:r>
      <w:r>
        <w:rPr>
          <w:rFonts w:hint="default" w:ascii="Times New Roman" w:hAnsi="Times New Roman" w:eastAsia="Times New Roman" w:cs="Times New Roman"/>
          <w:i/>
          <w:iCs/>
          <w:color w:val="auto"/>
          <w:kern w:val="0"/>
          <w:lang w:val="en-US"/>
          <w14:ligatures w14:val="none"/>
        </w:rPr>
        <w:t>see appendix</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The second sub-dimension, Board of Directors, is measured by</w:t>
      </w:r>
      <w:r>
        <w:rPr>
          <w:rFonts w:hint="default" w:ascii="Times New Roman" w:hAnsi="Times New Roman" w:eastAsia="Times New Roman" w:cs="Times New Roman"/>
          <w:color w:val="auto"/>
          <w:kern w:val="0"/>
          <w:lang w:val="en-US"/>
          <w14:ligatures w14:val="none"/>
        </w:rPr>
        <w:t xml:space="preserve"> five </w:t>
      </w:r>
      <w:r>
        <w:rPr>
          <w:rFonts w:ascii="Times New Roman" w:hAnsi="Times New Roman" w:eastAsia="Times New Roman" w:cs="Times New Roman"/>
          <w:color w:val="auto"/>
          <w:kern w:val="0"/>
          <w:lang w:val="en-US"/>
          <w14:ligatures w14:val="none"/>
        </w:rPr>
        <w:t>items</w:t>
      </w:r>
      <w:r>
        <w:rPr>
          <w:rFonts w:hint="default" w:ascii="Times New Roman" w:hAnsi="Times New Roman" w:eastAsia="Times New Roman" w:cs="Times New Roman"/>
          <w:color w:val="auto"/>
          <w:kern w:val="0"/>
          <w:lang w:val="en-US"/>
          <w14:ligatures w14:val="none"/>
        </w:rPr>
        <w:t xml:space="preserve"> BOD1 to BOD5</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w:t>
      </w:r>
      <w:r>
        <w:rPr>
          <w:rFonts w:hint="default" w:ascii="Times New Roman" w:hAnsi="Times New Roman" w:eastAsia="Times New Roman" w:cs="Times New Roman"/>
          <w:i/>
          <w:iCs/>
          <w:color w:val="auto"/>
          <w:kern w:val="0"/>
          <w:lang w:val="en-US"/>
          <w14:ligatures w14:val="none"/>
        </w:rPr>
        <w:t>see appendix</w:t>
      </w:r>
      <w:r>
        <w:rPr>
          <w:rFonts w:hint="default" w:ascii="Times New Roman" w:hAnsi="Times New Roman" w:eastAsia="Times New Roman" w:cs="Times New Roman"/>
          <w:color w:val="auto"/>
          <w:kern w:val="0"/>
          <w:lang w:val="en-US"/>
          <w14:ligatures w14:val="none"/>
        </w:rPr>
        <w:t xml:space="preserve">), It </w:t>
      </w:r>
      <w:r>
        <w:rPr>
          <w:rFonts w:ascii="Times New Roman" w:hAnsi="Times New Roman" w:eastAsia="Times New Roman" w:cs="Times New Roman"/>
          <w:color w:val="auto"/>
          <w:kern w:val="0"/>
          <w:lang w:val="en-US"/>
          <w14:ligatures w14:val="none"/>
        </w:rPr>
        <w:t>assesses whether a defined management structure exists, whether the board communicates key decisions to staff, whether performance targets are set and updated, and whether the board ensures that strategic planning is aligned with organisational objectives.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The third sub-dimension, Conduct and Compliance, is measured by</w:t>
      </w:r>
      <w:r>
        <w:rPr>
          <w:rFonts w:hint="default" w:ascii="Times New Roman" w:hAnsi="Times New Roman" w:eastAsia="Times New Roman" w:cs="Times New Roman"/>
          <w:color w:val="auto"/>
          <w:kern w:val="0"/>
          <w:lang w:val="en-US"/>
          <w14:ligatures w14:val="none"/>
        </w:rPr>
        <w:t xml:space="preserve"> four</w:t>
      </w:r>
      <w:r>
        <w:rPr>
          <w:rFonts w:ascii="Times New Roman" w:hAnsi="Times New Roman" w:eastAsia="Times New Roman" w:cs="Times New Roman"/>
          <w:color w:val="auto"/>
          <w:kern w:val="0"/>
          <w:lang w:val="en-US"/>
          <w14:ligatures w14:val="none"/>
        </w:rPr>
        <w:t xml:space="preserve"> items</w:t>
      </w:r>
      <w:r>
        <w:rPr>
          <w:rFonts w:hint="default" w:ascii="Times New Roman" w:hAnsi="Times New Roman" w:eastAsia="Times New Roman" w:cs="Times New Roman"/>
          <w:color w:val="auto"/>
          <w:kern w:val="0"/>
          <w:lang w:val="en-US"/>
          <w14:ligatures w14:val="none"/>
        </w:rPr>
        <w:t xml:space="preserve"> CG4 to CG8</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w:t>
      </w:r>
      <w:r>
        <w:rPr>
          <w:rFonts w:hint="default" w:ascii="Times New Roman" w:hAnsi="Times New Roman" w:eastAsia="Times New Roman" w:cs="Times New Roman"/>
          <w:i/>
          <w:iCs/>
          <w:color w:val="auto"/>
          <w:kern w:val="0"/>
          <w:lang w:val="en-US"/>
          <w14:ligatures w14:val="none"/>
        </w:rPr>
        <w:t xml:space="preserve">see appendix </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and covers the extent to which a code of conduct is emphasised and enforced, whether employees are encouraged to report illegal or wasteful activities, and whether management takes corrective actions seriously.</w:t>
      </w:r>
    </w:p>
    <w:p w14:paraId="16D83ADD">
      <w:pPr>
        <w:widowControl/>
        <w:suppressAutoHyphens/>
        <w:bidi w:val="0"/>
        <w:spacing w:before="160" w:after="80" w:line="480" w:lineRule="auto"/>
        <w:jc w:val="both"/>
        <w:outlineLvl w:val="2"/>
        <w:rPr>
          <w:rFonts w:ascii="Times New Roman" w:hAnsi="Times New Roman" w:eastAsia="Times New Roman" w:cs="Times New Roman"/>
          <w:b/>
          <w:bCs/>
          <w:i/>
          <w:iCs/>
          <w:color w:val="000000"/>
          <w:kern w:val="0"/>
          <w:sz w:val="24"/>
          <w:szCs w:val="24"/>
          <w:lang w:val="en-US" w:eastAsia="en-US" w:bidi="ar-SA"/>
          <w14:ligatures w14:val="none"/>
        </w:rPr>
      </w:pPr>
      <w:bookmarkStart w:id="54" w:name="__RefHeading___Toc3680_3370473891"/>
      <w:bookmarkEnd w:id="54"/>
      <w:r>
        <w:rPr>
          <w:rFonts w:ascii="Times New Roman" w:hAnsi="Times New Roman" w:eastAsia="Times New Roman" w:cs="Times New Roman"/>
          <w:b/>
          <w:bCs/>
          <w:i/>
          <w:iCs/>
          <w:color w:val="000000"/>
          <w:kern w:val="0"/>
          <w:sz w:val="24"/>
          <w:szCs w:val="24"/>
          <w:lang w:val="en-US" w:eastAsia="en-US" w:bidi="ar-SA"/>
          <w14:ligatures w14:val="none"/>
        </w:rPr>
        <w:t>Independent variable 2: Risk management</w:t>
      </w:r>
    </w:p>
    <w:p w14:paraId="5B494186">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Risk management is measured using six items derived from the ISO 31000 risk management framework. The six items, coded RM</w:t>
      </w:r>
      <w:r>
        <w:rPr>
          <w:rFonts w:hint="default" w:ascii="Times New Roman" w:hAnsi="Times New Roman" w:eastAsia="Times New Roman" w:cs="Times New Roman"/>
          <w:color w:val="auto"/>
          <w:kern w:val="0"/>
          <w:lang w:val="en-US"/>
          <w14:ligatures w14:val="none"/>
        </w:rPr>
        <w:t>1</w:t>
      </w:r>
      <w:r>
        <w:rPr>
          <w:rFonts w:ascii="Times New Roman" w:hAnsi="Times New Roman" w:eastAsia="Times New Roman" w:cs="Times New Roman"/>
          <w:color w:val="auto"/>
          <w:kern w:val="0"/>
          <w:lang w:val="en-US"/>
          <w14:ligatures w14:val="none"/>
        </w:rPr>
        <w:t xml:space="preserve"> through RM</w:t>
      </w:r>
      <w:r>
        <w:rPr>
          <w:rFonts w:hint="default" w:ascii="Times New Roman" w:hAnsi="Times New Roman" w:eastAsia="Times New Roman" w:cs="Times New Roman"/>
          <w:color w:val="auto"/>
          <w:kern w:val="0"/>
          <w:lang w:val="en-US"/>
          <w14:ligatures w14:val="none"/>
        </w:rPr>
        <w:t>6</w:t>
      </w:r>
      <w:r>
        <w:rPr>
          <w:rFonts w:ascii="Times New Roman" w:hAnsi="Times New Roman" w:eastAsia="Times New Roman" w:cs="Times New Roman"/>
          <w:color w:val="auto"/>
          <w:kern w:val="0"/>
          <w:lang w:val="en-US"/>
          <w14:ligatures w14:val="none"/>
        </w:rPr>
        <w:t>, cover the full risk management cycle as defined by the ISO standard. RM</w:t>
      </w:r>
      <w:r>
        <w:rPr>
          <w:rFonts w:hint="default" w:ascii="Times New Roman" w:hAnsi="Times New Roman" w:eastAsia="Times New Roman" w:cs="Times New Roman"/>
          <w:color w:val="auto"/>
          <w:kern w:val="0"/>
          <w:lang w:val="en-US"/>
          <w14:ligatures w14:val="none"/>
        </w:rPr>
        <w:t>1</w:t>
      </w:r>
      <w:r>
        <w:rPr>
          <w:rFonts w:ascii="Times New Roman" w:hAnsi="Times New Roman" w:eastAsia="Times New Roman" w:cs="Times New Roman"/>
          <w:color w:val="auto"/>
          <w:kern w:val="0"/>
          <w:lang w:val="en-US"/>
          <w14:ligatures w14:val="none"/>
        </w:rPr>
        <w:t xml:space="preserve"> assesses whether the organisation establishes the context before assessing risks, reflecting the planning dimension of risk management. RM</w:t>
      </w:r>
      <w:r>
        <w:rPr>
          <w:rFonts w:hint="default" w:ascii="Times New Roman" w:hAnsi="Times New Roman" w:eastAsia="Times New Roman" w:cs="Times New Roman"/>
          <w:color w:val="auto"/>
          <w:kern w:val="0"/>
          <w:lang w:val="en-US"/>
          <w14:ligatures w14:val="none"/>
        </w:rPr>
        <w:t>2</w:t>
      </w:r>
      <w:r>
        <w:rPr>
          <w:rFonts w:ascii="Times New Roman" w:hAnsi="Times New Roman" w:eastAsia="Times New Roman" w:cs="Times New Roman"/>
          <w:color w:val="auto"/>
          <w:kern w:val="0"/>
          <w:lang w:val="en-US"/>
          <w14:ligatures w14:val="none"/>
        </w:rPr>
        <w:t xml:space="preserve"> assesses whether risk identification processes are well defined. RM</w:t>
      </w:r>
      <w:r>
        <w:rPr>
          <w:rFonts w:hint="default" w:ascii="Times New Roman" w:hAnsi="Times New Roman" w:eastAsia="Times New Roman" w:cs="Times New Roman"/>
          <w:color w:val="auto"/>
          <w:kern w:val="0"/>
          <w:lang w:val="en-US"/>
          <w14:ligatures w14:val="none"/>
        </w:rPr>
        <w:t>3</w:t>
      </w:r>
      <w:r>
        <w:rPr>
          <w:rFonts w:ascii="Times New Roman" w:hAnsi="Times New Roman" w:eastAsia="Times New Roman" w:cs="Times New Roman"/>
          <w:color w:val="auto"/>
          <w:kern w:val="0"/>
          <w:lang w:val="en-US"/>
          <w14:ligatures w14:val="none"/>
        </w:rPr>
        <w:t xml:space="preserve"> evaluates whether risk analysis is conducted using structured methods. RM</w:t>
      </w:r>
      <w:r>
        <w:rPr>
          <w:rFonts w:hint="default" w:ascii="Times New Roman" w:hAnsi="Times New Roman" w:eastAsia="Times New Roman" w:cs="Times New Roman"/>
          <w:color w:val="auto"/>
          <w:kern w:val="0"/>
          <w:lang w:val="en-US"/>
          <w14:ligatures w14:val="none"/>
        </w:rPr>
        <w:t>4</w:t>
      </w:r>
      <w:r>
        <w:rPr>
          <w:rFonts w:ascii="Times New Roman" w:hAnsi="Times New Roman" w:eastAsia="Times New Roman" w:cs="Times New Roman"/>
          <w:color w:val="auto"/>
          <w:kern w:val="0"/>
          <w:lang w:val="en-US"/>
          <w14:ligatures w14:val="none"/>
        </w:rPr>
        <w:t xml:space="preserve"> examines whether risk evaluation supports decision-making. RM</w:t>
      </w:r>
      <w:r>
        <w:rPr>
          <w:rFonts w:hint="default" w:ascii="Times New Roman" w:hAnsi="Times New Roman" w:eastAsia="Times New Roman" w:cs="Times New Roman"/>
          <w:color w:val="auto"/>
          <w:kern w:val="0"/>
          <w:lang w:val="en-US"/>
          <w14:ligatures w14:val="none"/>
        </w:rPr>
        <w:t>5</w:t>
      </w:r>
      <w:r>
        <w:rPr>
          <w:rFonts w:ascii="Times New Roman" w:hAnsi="Times New Roman" w:eastAsia="Times New Roman" w:cs="Times New Roman"/>
          <w:color w:val="auto"/>
          <w:kern w:val="0"/>
          <w:lang w:val="en-US"/>
          <w14:ligatures w14:val="none"/>
        </w:rPr>
        <w:t xml:space="preserve"> assesses whether risk treatment plans are implemented effectively. RM</w:t>
      </w:r>
      <w:r>
        <w:rPr>
          <w:rFonts w:hint="default" w:ascii="Times New Roman" w:hAnsi="Times New Roman" w:eastAsia="Times New Roman" w:cs="Times New Roman"/>
          <w:color w:val="auto"/>
          <w:kern w:val="0"/>
          <w:lang w:val="en-US"/>
          <w14:ligatures w14:val="none"/>
        </w:rPr>
        <w:t>6</w:t>
      </w:r>
      <w:r>
        <w:rPr>
          <w:rFonts w:ascii="Times New Roman" w:hAnsi="Times New Roman" w:eastAsia="Times New Roman" w:cs="Times New Roman"/>
          <w:color w:val="auto"/>
          <w:kern w:val="0"/>
          <w:lang w:val="en-US"/>
          <w14:ligatures w14:val="none"/>
        </w:rPr>
        <w:t xml:space="preserve"> evaluates whether risk management is reviewed and improved regularly. These six items collectively capture the rigour and comprehensiveness of an organisation's risk management system, from initial context setting through to ongoing review and improvement.</w:t>
      </w:r>
    </w:p>
    <w:p w14:paraId="0FE79858">
      <w:pPr>
        <w:widowControl/>
        <w:suppressAutoHyphens/>
        <w:bidi w:val="0"/>
        <w:spacing w:before="160" w:after="80" w:line="480" w:lineRule="auto"/>
        <w:jc w:val="both"/>
        <w:outlineLvl w:val="2"/>
        <w:rPr>
          <w:rFonts w:ascii="Times New Roman" w:hAnsi="Times New Roman" w:eastAsia="Times New Roman" w:cs="Times New Roman"/>
          <w:b/>
          <w:bCs/>
          <w:i/>
          <w:iCs/>
          <w:color w:val="000000"/>
          <w:kern w:val="0"/>
          <w:sz w:val="24"/>
          <w:szCs w:val="24"/>
          <w:lang w:val="en-US" w:eastAsia="en-US" w:bidi="ar-SA"/>
          <w14:ligatures w14:val="none"/>
        </w:rPr>
      </w:pPr>
      <w:bookmarkStart w:id="55" w:name="__RefHeading___Toc3682_3370473891"/>
      <w:bookmarkEnd w:id="55"/>
      <w:r>
        <w:rPr>
          <w:rFonts w:ascii="Times New Roman" w:hAnsi="Times New Roman" w:eastAsia="Times New Roman" w:cs="Times New Roman"/>
          <w:b/>
          <w:bCs/>
          <w:i/>
          <w:iCs/>
          <w:color w:val="000000"/>
          <w:kern w:val="0"/>
          <w:sz w:val="24"/>
          <w:szCs w:val="24"/>
          <w:lang w:val="en-US" w:eastAsia="en-US" w:bidi="ar-SA"/>
          <w14:ligatures w14:val="none"/>
        </w:rPr>
        <w:t>Mediating variable: Fraud prevention</w:t>
      </w:r>
    </w:p>
    <w:p w14:paraId="53944BC3">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Fraud prevention is measured using fifteen items adapted from the fraud prevention scale developed by Rehman and Hashim (2020). The items are organised across two sub-dimensions. The first sub-dimension, Proactive Fraud Prevention, is measured by</w:t>
      </w:r>
      <w:r>
        <w:rPr>
          <w:rFonts w:hint="default" w:ascii="Times New Roman" w:hAnsi="Times New Roman" w:eastAsia="Times New Roman" w:cs="Times New Roman"/>
          <w:color w:val="auto"/>
          <w:kern w:val="0"/>
          <w:lang w:val="en-US"/>
          <w14:ligatures w14:val="none"/>
        </w:rPr>
        <w:t xml:space="preserve"> eight</w:t>
      </w:r>
      <w:r>
        <w:rPr>
          <w:rFonts w:ascii="Times New Roman" w:hAnsi="Times New Roman" w:eastAsia="Times New Roman" w:cs="Times New Roman"/>
          <w:color w:val="auto"/>
          <w:kern w:val="0"/>
          <w:lang w:val="en-US"/>
          <w14:ligatures w14:val="none"/>
        </w:rPr>
        <w:t xml:space="preserve"> items</w:t>
      </w:r>
      <w:r>
        <w:rPr>
          <w:rFonts w:hint="default"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i/>
          <w:iCs/>
          <w:color w:val="auto"/>
          <w:kern w:val="0"/>
          <w:lang w:val="en-US"/>
          <w14:ligatures w14:val="none"/>
        </w:rPr>
        <w:t>see appendix</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These items assess the proactiveness of the organisation in dealing with fraud risk, the adequacy of its internal control and accounting control systems, the use of forensic accounting by external auditors, and the extent to which the organisation recognises the limitations of statutory auditing in identifying governance and control weaknesses. These items reflect the preventive and systemic dimensions of fraud prevention. The second sub-dimension, Fraud Risk Exposure, is measured by</w:t>
      </w:r>
      <w:r>
        <w:rPr>
          <w:rFonts w:hint="default" w:ascii="Times New Roman" w:hAnsi="Times New Roman" w:eastAsia="Times New Roman" w:cs="Times New Roman"/>
          <w:color w:val="auto"/>
          <w:kern w:val="0"/>
          <w:lang w:val="en-US"/>
          <w14:ligatures w14:val="none"/>
        </w:rPr>
        <w:t xml:space="preserve"> seven</w:t>
      </w:r>
      <w:r>
        <w:rPr>
          <w:rFonts w:ascii="Times New Roman" w:hAnsi="Times New Roman" w:eastAsia="Times New Roman" w:cs="Times New Roman"/>
          <w:color w:val="auto"/>
          <w:kern w:val="0"/>
          <w:lang w:val="en-US"/>
          <w14:ligatures w14:val="none"/>
        </w:rPr>
        <w:t xml:space="preserve"> items</w:t>
      </w:r>
      <w:r>
        <w:rPr>
          <w:rFonts w:hint="default" w:ascii="Times New Roman" w:hAnsi="Times New Roman" w:eastAsia="Times New Roman" w:cs="Times New Roman"/>
          <w:color w:val="auto"/>
          <w:kern w:val="0"/>
          <w:lang w:val="en-US"/>
          <w14:ligatures w14:val="none"/>
        </w:rPr>
        <w:t xml:space="preserve"> FP5 to FP11 </w:t>
      </w:r>
      <w:r>
        <w:rPr>
          <w:rFonts w:ascii="Times New Roman" w:hAnsi="Times New Roman" w:eastAsia="Times New Roman" w:cs="Times New Roman"/>
          <w:color w:val="auto"/>
          <w:kern w:val="0"/>
          <w:lang w:val="en-US"/>
          <w14:ligatures w14:val="none"/>
        </w:rPr>
        <w:t>and captures the organisation's vulnerability to fraud due to poor fraud management, poor fraud assessment, poor internal controls, lack of ethical values, inadequate background checks on employees and vendors, and management override of controls. These vulnerability items are reverse-indicative of fraud prevention effectiveness: organisations with high vulnerability scores are less effective at fraud prevention, and those with low vulnerability scores are more effective.</w:t>
      </w:r>
    </w:p>
    <w:p w14:paraId="70E86587">
      <w:pPr>
        <w:widowControl/>
        <w:suppressAutoHyphens/>
        <w:bidi w:val="0"/>
        <w:spacing w:before="160" w:after="80" w:line="480" w:lineRule="auto"/>
        <w:jc w:val="both"/>
        <w:outlineLvl w:val="2"/>
        <w:rPr>
          <w:rFonts w:ascii="Times New Roman" w:hAnsi="Times New Roman" w:eastAsia="Times New Roman" w:cs="Times New Roman"/>
          <w:b/>
          <w:bCs/>
          <w:i/>
          <w:iCs/>
          <w:color w:val="000000"/>
          <w:kern w:val="0"/>
          <w:sz w:val="24"/>
          <w:szCs w:val="24"/>
          <w:lang w:val="en-US" w:eastAsia="en-US" w:bidi="ar-SA"/>
          <w14:ligatures w14:val="none"/>
        </w:rPr>
      </w:pPr>
      <w:bookmarkStart w:id="56" w:name="__RefHeading___Toc3684_3370473891"/>
      <w:bookmarkEnd w:id="56"/>
      <w:r>
        <w:rPr>
          <w:rFonts w:ascii="Times New Roman" w:hAnsi="Times New Roman" w:eastAsia="Times New Roman" w:cs="Times New Roman"/>
          <w:b/>
          <w:bCs/>
          <w:i/>
          <w:iCs/>
          <w:color w:val="000000"/>
          <w:kern w:val="0"/>
          <w:sz w:val="24"/>
          <w:szCs w:val="24"/>
          <w:lang w:val="en-US" w:eastAsia="en-US" w:bidi="ar-SA"/>
          <w14:ligatures w14:val="none"/>
        </w:rPr>
        <w:t>Dependent variable: Organisational effectiveness</w:t>
      </w:r>
    </w:p>
    <w:p w14:paraId="56314935">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Organisational effectiveness is measured using seventeen items adapted from the models-based organisational effectiveness scale developed by Nwanzu and Uhiara (2018). The scale was developed and validated through a rigorous psychometric process drawing on four classical models of organisational effectiveness, namely the goal attainment, system resources, internal process and stakeholders models, and has demonstrated good reliability, with a coefficient of 0.73 reported by the original authors. The seventeen items, coded OE1 through OE17, cover a comprehensive range of effectiveness dimensions</w:t>
      </w:r>
      <w:r>
        <w:rPr>
          <w:rFonts w:hint="default"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i/>
          <w:iCs/>
          <w:color w:val="auto"/>
          <w:kern w:val="0"/>
          <w:lang w:val="en-US"/>
          <w14:ligatures w14:val="none"/>
        </w:rPr>
        <w:t>see appendix</w:t>
      </w:r>
      <w:r>
        <w:rPr>
          <w:rFonts w:hint="default" w:ascii="Times New Roman" w:hAnsi="Times New Roman" w:eastAsia="Times New Roman" w:cs="Times New Roman"/>
          <w:color w:val="auto"/>
          <w:kern w:val="0"/>
          <w:lang w:val="en-US"/>
          <w14:ligatures w14:val="none"/>
        </w:rPr>
        <w:t>).</w:t>
      </w:r>
    </w:p>
    <w:p w14:paraId="304F85A3">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57" w:name="__RefHeading___Toc3686_3370473891"/>
      <w:bookmarkEnd w:id="57"/>
      <w:r>
        <w:rPr>
          <w:rFonts w:ascii="Times New Roman" w:hAnsi="Times New Roman" w:eastAsia="Times New Roman" w:cs="Times New Roman"/>
          <w:b/>
          <w:bCs/>
          <w:color w:val="000000"/>
          <w:kern w:val="0"/>
          <w:sz w:val="24"/>
          <w:szCs w:val="24"/>
          <w:lang w:val="en-US" w:eastAsia="en-US" w:bidi="ar-SA"/>
          <w14:ligatures w14:val="none"/>
        </w:rPr>
        <w:t>Data Collection Procedure</w:t>
      </w:r>
    </w:p>
    <w:p w14:paraId="070F81EF">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research process involves the systematic collection and analysis of data. Survey research is the most common strategy used in quantitative studies (Saunders et al., 2019), and it was implemented in this study through the administration of structured questionnaires. A questionnaire is a research instrument consisting of a sequence of questions meant to elicit uniform responses from respondents (Krosnick, 2018).</w:t>
      </w:r>
    </w:p>
    <w:p w14:paraId="53170823">
      <w:pPr>
        <w:widowControl/>
        <w:suppressAutoHyphens/>
        <w:bidi w:val="0"/>
        <w:spacing w:before="120" w:after="160" w:line="48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 Data were collected through a structured questionnaire, administered</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via a Google Forms link shared through institutional communication channels, with a brief introductory note on the</w:t>
      </w:r>
      <w:r>
        <w:rPr>
          <w:rFonts w:hint="default" w:ascii="Times New Roman" w:hAnsi="Times New Roman" w:eastAsia="Times New Roman" w:cs="Times New Roman"/>
          <w:color w:val="auto"/>
          <w:kern w:val="0"/>
          <w:lang w:val="en-US"/>
          <w14:ligatures w14:val="none"/>
        </w:rPr>
        <w:t xml:space="preserve"> purpose of the study.</w:t>
      </w:r>
      <w:r>
        <w:rPr>
          <w:rFonts w:ascii="Times New Roman" w:hAnsi="Times New Roman" w:eastAsia="Times New Roman" w:cs="Times New Roman"/>
          <w:color w:val="auto"/>
          <w:kern w:val="0"/>
          <w:lang w:val="en-US"/>
          <w14:ligatures w14:val="none"/>
        </w:rPr>
        <w:t xml:space="preserve"> Formal request letters were sent to </w:t>
      </w:r>
      <w:r>
        <w:rPr>
          <w:rFonts w:hint="default" w:ascii="Times New Roman" w:hAnsi="Times New Roman" w:eastAsia="Times New Roman" w:cs="Times New Roman"/>
          <w:color w:val="auto"/>
          <w:kern w:val="0"/>
          <w:lang w:val="en-US"/>
          <w14:ligatures w14:val="none"/>
        </w:rPr>
        <w:t>management of participating organisation beforehand.</w:t>
      </w:r>
      <w:r>
        <w:rPr>
          <w:rFonts w:ascii="Times New Roman" w:hAnsi="Times New Roman" w:eastAsia="Times New Roman" w:cs="Times New Roman"/>
          <w:color w:val="auto"/>
          <w:kern w:val="0"/>
          <w:lang w:val="en-US"/>
          <w14:ligatures w14:val="none"/>
        </w:rPr>
        <w:t xml:space="preserve"> Contact persons within each organisation distributed the questionnaires</w:t>
      </w:r>
      <w:r>
        <w:rPr>
          <w:rFonts w:hint="default" w:ascii="Times New Roman" w:hAnsi="Times New Roman" w:eastAsia="Times New Roman" w:cs="Times New Roman"/>
          <w:color w:val="auto"/>
          <w:kern w:val="0"/>
          <w:lang w:val="en-US"/>
          <w14:ligatures w14:val="none"/>
        </w:rPr>
        <w:t>.</w:t>
      </w:r>
    </w:p>
    <w:p w14:paraId="53BF0583">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Data collection ran over</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six weeks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and participation remained voluntary throughout. Returned questionnaires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were checked for completeness before being entered into the data analysis software.</w:t>
      </w:r>
    </w:p>
    <w:p w14:paraId="62A2E9D8">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58" w:name="__RefHeading___Toc3688_3370473891"/>
      <w:bookmarkEnd w:id="58"/>
      <w:r>
        <w:rPr>
          <w:rFonts w:ascii="Times New Roman" w:hAnsi="Times New Roman" w:eastAsia="Times New Roman" w:cs="Times New Roman"/>
          <w:b/>
          <w:bCs/>
          <w:color w:val="000000"/>
          <w:kern w:val="0"/>
          <w:sz w:val="24"/>
          <w:szCs w:val="24"/>
          <w:lang w:val="en-US" w:eastAsia="en-US" w:bidi="ar-SA"/>
          <w14:ligatures w14:val="none"/>
        </w:rPr>
        <w:t>Data analysis procedure</w:t>
      </w:r>
    </w:p>
    <w:p w14:paraId="492F0A15">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questionnaires will be analysed using both descriptive and inferential statistics based on data collected. The main tool of analysis to be used is the Statistical Package for the Social Sciences version 26. The data will be filtered against errors, missing data, and outliers before analysis to guarantee quality and integrity of the data (Hair, Black, Babin &amp; Anderson, 2014).</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Microsoft Excel</w:t>
      </w:r>
      <w:r>
        <w:rPr>
          <w:rFonts w:hint="default" w:ascii="Times New Roman" w:hAnsi="Times New Roman" w:eastAsia="Times New Roman" w:cs="Times New Roman"/>
          <w:color w:val="auto"/>
          <w:kern w:val="0"/>
          <w:lang w:val="en-US"/>
          <w14:ligatures w14:val="none"/>
        </w:rPr>
        <w:t xml:space="preserve"> will be used</w:t>
      </w:r>
      <w:r>
        <w:rPr>
          <w:rFonts w:ascii="Times New Roman" w:hAnsi="Times New Roman" w:eastAsia="Times New Roman" w:cs="Times New Roman"/>
          <w:color w:val="auto"/>
          <w:kern w:val="0"/>
          <w:lang w:val="en-US"/>
          <w14:ligatures w14:val="none"/>
        </w:rPr>
        <w:t xml:space="preserve"> to organise initial data and create frequency tabulations and graphical representations.</w:t>
      </w:r>
    </w:p>
    <w:p w14:paraId="4BDDB959">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All demographic variables and all substantive construct items will be attributed to descriptive statistics such as frequencies, percentages, means and standard deviations. Descriptive analysis of the study gives a profile of the sample used and a summary of how the respondents evaluate the different variables, which is the context for interpreting the inferential results.</w:t>
      </w:r>
    </w:p>
    <w:p w14:paraId="2E68F9BE">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To conduct the inferential analysis, the research will use two key statistical methods. First, the nature and the strength of the bivariate relationship between the variables of the study, i.e., between corporate governance and fraud prevention, between risk management and fraud prevention, between fraud prevention and organisational effectiveness and between corporate governance and risk management and organisational effectiveness will be analysed through Pearson correlation analysis. Pearson correlation coefficient was accepted since the research variables are measured in continuous Likert-type measures, and relationships of interest are linear in nature (McKnight, 2020).</w:t>
      </w:r>
    </w:p>
    <w:p w14:paraId="00DA54ED">
      <w:pPr>
        <w:widowControl/>
        <w:suppressAutoHyphens/>
        <w:bidi w:val="0"/>
        <w:spacing w:before="120" w:after="240" w:line="480" w:lineRule="auto"/>
        <w:ind w:firstLine="720"/>
        <w:jc w:val="both"/>
        <w:rPr>
          <w:rFonts w:ascii="Times New Roman" w:hAnsi="Times New Roman" w:eastAsia="Times New Roman" w:cs="Times New Roman"/>
          <w:color w:val="auto"/>
          <w:kern w:val="0"/>
          <w:sz w:val="24"/>
          <w:lang w:val="en-US"/>
          <w14:ligatures w14:val="none"/>
        </w:rPr>
      </w:pPr>
      <w:r>
        <w:rPr>
          <w:rFonts w:ascii="Times New Roman" w:hAnsi="Times New Roman" w:eastAsia="Times New Roman" w:cs="Times New Roman"/>
          <w:color w:val="auto"/>
          <w:kern w:val="0"/>
          <w:sz w:val="24"/>
          <w:lang w:val="en-US"/>
          <w14:ligatures w14:val="none"/>
        </w:rPr>
        <w:t>Second, the hypotheses of the study will be tested using regression analysis. Simple regression will be performed to examine the direct effect of corporate governance on organisational effectiveness (H1) and the direct effect of risk management on organisational effectiveness (H2). Hierarchical regression analysis will then examine the direct effect of the practices of corporate governance on fraud prevention (H3), the direct effect of risk management systems on fraud prevention (H4), and the direct effect of fraud prevention on organisational effectiveness (H5). Hayes</w:t>
      </w:r>
      <w:r>
        <w:rPr>
          <w:rFonts w:hint="default" w:ascii="Times New Roman" w:hAnsi="Times New Roman" w:eastAsia="Times New Roman" w:cs="Times New Roman"/>
          <w:color w:val="auto"/>
          <w:kern w:val="0"/>
          <w:sz w:val="24"/>
          <w:lang w:val="en-US"/>
          <w14:ligatures w14:val="none"/>
        </w:rPr>
        <w:t>’</w:t>
      </w:r>
      <w:r>
        <w:rPr>
          <w:rFonts w:ascii="Times New Roman" w:hAnsi="Times New Roman" w:eastAsia="Times New Roman" w:cs="Times New Roman"/>
          <w:color w:val="auto"/>
          <w:kern w:val="0"/>
          <w:sz w:val="24"/>
          <w:lang w:val="en-US"/>
          <w14:ligatures w14:val="none"/>
        </w:rPr>
        <w:t xml:space="preserve"> (2018) PROCESS macro will be used to test the mediating roles of fraud prevention in the corporate governance-organisational effectiveness relationship (H6) and the risk management-organisational effectiveness relationship (H7).</w:t>
      </w:r>
    </w:p>
    <w:p w14:paraId="757DDAEA">
      <w:pPr>
        <w:widowControl/>
        <w:suppressAutoHyphens/>
        <w:bidi w:val="0"/>
        <w:spacing w:before="120" w:after="240" w:line="480" w:lineRule="auto"/>
        <w:ind w:left="0" w:leftChars="0" w:firstLine="0" w:firstLineChars="0"/>
        <w:jc w:val="both"/>
        <w:rPr>
          <w:rFonts w:hint="default" w:ascii="Times New Roman" w:hAnsi="Times New Roman" w:eastAsia="Times New Roman" w:cs="Times New Roman"/>
          <w:b/>
          <w:bCs/>
          <w:color w:val="auto"/>
          <w:kern w:val="0"/>
          <w:sz w:val="24"/>
          <w:lang w:val="en-US"/>
          <w14:ligatures w14:val="none"/>
        </w:rPr>
      </w:pPr>
      <w:r>
        <w:rPr>
          <w:rFonts w:hint="default" w:ascii="Times New Roman" w:hAnsi="Times New Roman" w:eastAsia="Times New Roman" w:cs="Times New Roman"/>
          <w:b/>
          <w:bCs/>
          <w:color w:val="auto"/>
          <w:kern w:val="0"/>
          <w:sz w:val="24"/>
          <w:lang w:val="en-US"/>
          <w14:ligatures w14:val="none"/>
        </w:rPr>
        <w:t xml:space="preserve">Reliability and validity testing </w:t>
      </w:r>
    </w:p>
    <w:p w14:paraId="0607ABE7">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consistency of all multi-items scales will be determined by the Cronbach alpha coefficient, the threshold used was 0.70 which is the minimum acceptable value (Nunnally, 1978). Validity was measured in terms of item-total correlation, and in terms of reference to the theoretical or empirical foundations of the respective scales. Common method variance, which is a potential concern when all variables are measured using a single self-report questionnaire, will be assessed using Harman's single factor test. If a single dominant factor accounts for more than 50 per cent of the total explained variance in an exploratory factor analysis of all study items, common method bias may be a concern in interpreting the results (Podsakoff, MacKenzie, Lee and Podsakoff, 2003).</w:t>
      </w:r>
    </w:p>
    <w:p w14:paraId="44A973DE">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59" w:name="__RefHeading___Toc3690_3370473891"/>
      <w:bookmarkEnd w:id="59"/>
      <w:r>
        <w:rPr>
          <w:rFonts w:ascii="Times New Roman" w:hAnsi="Times New Roman" w:eastAsia="Times New Roman" w:cs="Times New Roman"/>
          <w:b/>
          <w:bCs/>
          <w:color w:val="000000"/>
          <w:kern w:val="0"/>
          <w:sz w:val="24"/>
          <w:szCs w:val="24"/>
          <w:lang w:val="en-US" w:eastAsia="en-US" w:bidi="ar-SA"/>
          <w14:ligatures w14:val="none"/>
        </w:rPr>
        <w:t>Ethical considerations</w:t>
      </w:r>
    </w:p>
    <w:p w14:paraId="3F80F3C1">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study was conducted in full compliance with the ethical principles governing research involving human subjects. All respondents provided informed consent before completing the questionnaire. The informed consent process included a written explanation of the purpose of the study, the entirely voluntary nature of participation, the right to withdraw at any point without any repercussion, the anonymity of all responses, and the confirmation that all data gathered would be used solely for academic purposes. Respondents were not asked anywhere in the questionnaire to provide their names, staff identification numbers or any other individually identifying information.</w:t>
      </w:r>
    </w:p>
    <w:p w14:paraId="6F4E0829">
      <w:pPr>
        <w:widowControl/>
        <w:suppressAutoHyphens/>
        <w:bidi w:val="0"/>
        <w:spacing w:before="220" w:after="100" w:line="48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60" w:name="__RefHeading___Toc3692_3370473891"/>
      <w:bookmarkEnd w:id="60"/>
      <w:r>
        <w:rPr>
          <w:rFonts w:ascii="Times New Roman" w:hAnsi="Times New Roman" w:eastAsia="Times New Roman" w:cs="Times New Roman"/>
          <w:b/>
          <w:bCs/>
          <w:color w:val="000000"/>
          <w:kern w:val="0"/>
          <w:sz w:val="24"/>
          <w:szCs w:val="24"/>
          <w:lang w:val="en-US" w:eastAsia="en-US" w:bidi="ar-SA"/>
          <w14:ligatures w14:val="none"/>
        </w:rPr>
        <w:t>Chapter Summary</w:t>
      </w:r>
    </w:p>
    <w:p w14:paraId="7E3443CA">
      <w:pPr>
        <w:widowControl/>
        <w:suppressAutoHyphens/>
        <w:bidi w:val="0"/>
        <w:spacing w:before="120" w:after="20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This chapter has presented a description of the methods and techniques employed in the design, collection and analysis of data to answer the research questions and test the seven hypotheses of the study. A quantitative approach incorporating descriptive and explanatory survey designs was employed, underpinned by a positivist philosophical stance. The target population comprises employees in governance, risk management, compliance, audit and finance roles across selected Ghanaian firms in the financial services, energy, public procurement, and telecommunications and ICT sectors. All constructs were operationalised comprehensively with reference to their sub-dimensions and item codes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The analysis of the data will be based on descriptive statistics in SPSS and inferential statistics on Pearson correlation and hierarchical regression, including mediation analysis using Hayes</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(2018) PROCESS macr</w:t>
      </w:r>
      <w:r>
        <w:rPr>
          <w:rFonts w:hint="default" w:ascii="Times New Roman" w:hAnsi="Times New Roman" w:eastAsia="Times New Roman" w:cs="Times New Roman"/>
          <w:color w:val="auto"/>
          <w:kern w:val="0"/>
          <w:lang w:val="en-US"/>
          <w14:ligatures w14:val="none"/>
        </w:rPr>
        <w:t>o</w:t>
      </w:r>
      <w:r>
        <w:rPr>
          <w:rFonts w:ascii="Times New Roman" w:hAnsi="Times New Roman" w:eastAsia="Times New Roman" w:cs="Times New Roman"/>
          <w:color w:val="auto"/>
          <w:kern w:val="0"/>
          <w:lang w:val="en-US"/>
          <w14:ligatures w14:val="none"/>
        </w:rPr>
        <w:t xml:space="preserve"> with bootstrapped confidence intervals. Chapter Four will present the results of the data analysis in response to the study</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s three research objectives and </w:t>
      </w:r>
      <w:r>
        <w:rPr>
          <w:rFonts w:hint="default" w:ascii="Times New Roman" w:hAnsi="Times New Roman" w:eastAsia="Times New Roman" w:cs="Times New Roman"/>
          <w:color w:val="auto"/>
          <w:kern w:val="0"/>
          <w:lang w:val="en-US"/>
          <w14:ligatures w14:val="none"/>
        </w:rPr>
        <w:t>seven</w:t>
      </w:r>
      <w:r>
        <w:rPr>
          <w:rFonts w:ascii="Times New Roman" w:hAnsi="Times New Roman" w:eastAsia="Times New Roman" w:cs="Times New Roman"/>
          <w:color w:val="auto"/>
          <w:kern w:val="0"/>
          <w:lang w:val="en-US"/>
          <w14:ligatures w14:val="none"/>
        </w:rPr>
        <w:t xml:space="preserve"> hypotheses.</w:t>
      </w:r>
    </w:p>
    <w:p w14:paraId="71133A2D">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7F893541">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49FCA0DA">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261B240A">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39CD653B">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05BAAD56">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09CBC5B7">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49F61CDB">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bookmarkStart w:id="61" w:name="_Toc53076065"/>
      <w:bookmarkStart w:id="62" w:name="_Toc90896344"/>
      <w:bookmarkStart w:id="63" w:name="_Toc112693638"/>
      <w:bookmarkStart w:id="64" w:name="_Toc112686802"/>
    </w:p>
    <w:p w14:paraId="25BF4F80">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5A2A2C50">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644186A2">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160B30FB">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576255DF">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154061F8">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5277686B">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3FEE8720">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4D39AF4E">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177C297C">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3D31007D">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57DD5679">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43B65822">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1C81F3EC">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123DDCF6">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36226DFD">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p>
    <w:p w14:paraId="50607FC6">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shd w:val="clear" w:color="auto" w:fill="FFFFFF"/>
          <w:lang w:val="en-US" w:eastAsia="en-US" w:bidi="ar-SA"/>
          <w14:ligatures w14:val="none"/>
        </w:rPr>
      </w:pPr>
      <w:r>
        <w:rPr>
          <w:rFonts w:ascii="Times New Roman" w:hAnsi="Times New Roman" w:eastAsia="Times New Roman" w:cs="Times New Roman"/>
          <w:b/>
          <w:bCs/>
          <w:color w:val="000000"/>
          <w:kern w:val="0"/>
          <w:sz w:val="24"/>
          <w:szCs w:val="24"/>
          <w:lang w:val="en-US" w:eastAsia="en-US" w:bidi="ar-SA"/>
          <w14:ligatures w14:val="none"/>
        </w:rPr>
        <w:t>CHAPTER F</w:t>
      </w:r>
      <w:bookmarkEnd w:id="61"/>
      <w:bookmarkEnd w:id="62"/>
      <w:r>
        <w:rPr>
          <w:rFonts w:ascii="Times New Roman" w:hAnsi="Times New Roman" w:eastAsia="Times New Roman" w:cs="Times New Roman"/>
          <w:b/>
          <w:bCs/>
          <w:color w:val="000000"/>
          <w:kern w:val="0"/>
          <w:sz w:val="24"/>
          <w:szCs w:val="24"/>
          <w:lang w:val="en-US" w:eastAsia="en-US" w:bidi="ar-SA"/>
          <w14:ligatures w14:val="none"/>
        </w:rPr>
        <w:t>OUR</w:t>
      </w:r>
      <w:bookmarkEnd w:id="63"/>
      <w:bookmarkEnd w:id="64"/>
    </w:p>
    <w:p w14:paraId="6540B231">
      <w:pPr>
        <w:widowControl/>
        <w:suppressAutoHyphens/>
        <w:bidi w:val="0"/>
        <w:spacing w:before="0" w:after="100" w:line="240" w:lineRule="auto"/>
        <w:ind w:firstLine="720"/>
        <w:jc w:val="center"/>
        <w:outlineLvl w:val="1"/>
        <w:rPr>
          <w:rFonts w:ascii="Times New Roman" w:hAnsi="Times New Roman" w:eastAsia="Times New Roman" w:cs="Times New Roman"/>
          <w:b/>
          <w:bCs/>
          <w:color w:val="000000"/>
          <w:kern w:val="0"/>
          <w:sz w:val="24"/>
          <w:szCs w:val="24"/>
          <w:lang w:val="en-US" w:eastAsia="en-US" w:bidi="ar-SA"/>
          <w14:ligatures w14:val="none"/>
        </w:rPr>
      </w:pPr>
      <w:bookmarkStart w:id="65" w:name="_Toc53076066"/>
      <w:bookmarkStart w:id="66" w:name="_Toc112686803"/>
      <w:bookmarkStart w:id="67" w:name="_Toc90896345"/>
      <w:bookmarkStart w:id="68" w:name="_Toc112693639"/>
      <w:r>
        <w:rPr>
          <w:rFonts w:ascii="Times New Roman" w:hAnsi="Times New Roman" w:eastAsia="Times New Roman" w:cs="Times New Roman"/>
          <w:b/>
          <w:bCs/>
          <w:color w:val="000000"/>
          <w:kern w:val="0"/>
          <w:sz w:val="24"/>
          <w:szCs w:val="24"/>
          <w:lang w:val="en-US" w:eastAsia="en-US" w:bidi="ar-SA"/>
          <w14:ligatures w14:val="none"/>
        </w:rPr>
        <w:t>DATA ANALYSIS RESULTS AND DISCUSSION</w:t>
      </w:r>
      <w:bookmarkEnd w:id="65"/>
      <w:bookmarkEnd w:id="66"/>
      <w:bookmarkEnd w:id="67"/>
      <w:bookmarkEnd w:id="68"/>
      <w:bookmarkStart w:id="69" w:name="_Toc90896346"/>
      <w:bookmarkStart w:id="70" w:name="_Toc53076067"/>
    </w:p>
    <w:p w14:paraId="6B0A5FC2">
      <w:pPr>
        <w:widowControl/>
        <w:suppressAutoHyphens/>
        <w:bidi w:val="0"/>
        <w:spacing w:before="0" w:after="100" w:line="24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71" w:name="_Toc112693640"/>
      <w:bookmarkStart w:id="72" w:name="_Toc112686804"/>
      <w:r>
        <w:rPr>
          <w:rFonts w:ascii="Times New Roman" w:hAnsi="Times New Roman" w:eastAsia="Times New Roman" w:cs="Times New Roman"/>
          <w:b/>
          <w:bCs/>
          <w:color w:val="000000"/>
          <w:kern w:val="0"/>
          <w:sz w:val="24"/>
          <w:szCs w:val="24"/>
          <w:lang w:val="en-US" w:eastAsia="en-US" w:bidi="ar-SA"/>
          <w14:ligatures w14:val="none"/>
        </w:rPr>
        <w:t>Introduction</w:t>
      </w:r>
      <w:bookmarkEnd w:id="71"/>
      <w:bookmarkEnd w:id="72"/>
      <w:r>
        <w:rPr>
          <w:rFonts w:ascii="Times New Roman" w:hAnsi="Times New Roman" w:eastAsia="Times New Roman" w:cs="Times New Roman"/>
          <w:b/>
          <w:bCs/>
          <w:color w:val="000000"/>
          <w:kern w:val="0"/>
          <w:sz w:val="24"/>
          <w:szCs w:val="24"/>
          <w:lang w:val="en-US" w:eastAsia="en-US" w:bidi="ar-SA"/>
          <w14:ligatures w14:val="none"/>
        </w:rPr>
        <w:t xml:space="preserve"> </w:t>
      </w:r>
      <w:bookmarkEnd w:id="69"/>
      <w:bookmarkEnd w:id="70"/>
    </w:p>
    <w:p w14:paraId="075972A1">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In this chapter, the results of the data collected are presented and discussed as to how corporate governance and risk management become strategic tools for fraud prevention. In addition, whether fraud prevention improves organisational effectiveness in selected Ghanaian firms. Quantitative research design was used to collect and analyse data from 50 employees across four industries in Ghana. The chapter contains four sections. The first is the demographic profile of the respondents. The second presents the reliability and descriptive statistics of the variables. The third section presents the correlation and hierarchical regression, together with mediation tests. The fourth section discusses the results in relation to each research objective.</w:t>
      </w:r>
      <w:bookmarkStart w:id="73" w:name="_Toc112686805"/>
      <w:bookmarkStart w:id="74" w:name="_Toc112693641"/>
    </w:p>
    <w:p w14:paraId="151BAE9D">
      <w:pPr>
        <w:widowControl/>
        <w:suppressAutoHyphens/>
        <w:bidi w:val="0"/>
        <w:spacing w:before="0" w:after="100" w:line="240" w:lineRule="auto"/>
        <w:ind w:firstLine="720"/>
        <w:jc w:val="both"/>
        <w:outlineLvl w:val="1"/>
        <w:rPr>
          <w:rFonts w:ascii="Times New Roman" w:hAnsi="Times New Roman" w:eastAsia="Times New Roman" w:cs="Times New Roman"/>
          <w:b/>
          <w:bCs/>
          <w:color w:val="000000"/>
          <w:kern w:val="0"/>
          <w:sz w:val="24"/>
          <w:szCs w:val="24"/>
          <w:lang w:val="en-US" w:eastAsia="en-US" w:bidi="ar-SA"/>
          <w14:ligatures w14:val="none"/>
        </w:rPr>
      </w:pPr>
    </w:p>
    <w:p w14:paraId="56195659">
      <w:pPr>
        <w:widowControl/>
        <w:suppressAutoHyphens/>
        <w:bidi w:val="0"/>
        <w:spacing w:before="0" w:after="100" w:line="24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r>
        <w:rPr>
          <w:rFonts w:ascii="Times New Roman" w:hAnsi="Times New Roman" w:eastAsia="Times New Roman" w:cs="Times New Roman"/>
          <w:b/>
          <w:bCs/>
          <w:color w:val="000000"/>
          <w:kern w:val="0"/>
          <w:sz w:val="24"/>
          <w:szCs w:val="24"/>
          <w:lang w:val="en-US" w:eastAsia="en-US" w:bidi="ar-SA"/>
          <w14:ligatures w14:val="none"/>
        </w:rPr>
        <w:t>Demographic characteristics</w:t>
      </w:r>
      <w:bookmarkEnd w:id="73"/>
      <w:bookmarkEnd w:id="74"/>
    </w:p>
    <w:p w14:paraId="3AF9E02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ab/>
      </w:r>
      <w:r>
        <w:rPr>
          <w:rFonts w:ascii="Times New Roman" w:hAnsi="Times New Roman" w:eastAsia="Times New Roman" w:cs="Times New Roman"/>
          <w:color w:val="auto"/>
          <w:kern w:val="0"/>
          <w:sz w:val="24"/>
          <w:szCs w:val="24"/>
          <w:lang w:val="en-US"/>
          <w14:ligatures w14:val="none"/>
        </w:rPr>
        <w:t>A</w:t>
      </w:r>
      <w:bookmarkStart w:id="75" w:name="_Toc90304191"/>
      <w:bookmarkStart w:id="76" w:name="_Toc110000569"/>
      <w:r>
        <w:rPr>
          <w:rFonts w:ascii="Times New Roman" w:hAnsi="Times New Roman" w:eastAsia="Times New Roman" w:cs="Times New Roman"/>
          <w:color w:val="auto"/>
          <w:kern w:val="0"/>
          <w:sz w:val="24"/>
          <w:szCs w:val="24"/>
          <w:lang w:val="en-US"/>
          <w14:ligatures w14:val="none"/>
        </w:rPr>
        <w:t xml:space="preserve"> total of 50 responses were received. However, the minimum response target was 70 respondents. This constitutes a 71.4% response rate of the target sample. Table 1 presents the demographic profile of the respondents. Female respondents accounted for 60%(30) and 20(40%) male respondents. Majority of the respondents were between the ages of 18-25years 22(44%). Majority of respondents possessed a Bachelor’s degree 31(62%). The majority of the respondents were junior-level official 24(48%). By industry, 29(58%) of respondents were employed in the service sector.</w:t>
      </w:r>
    </w:p>
    <w:bookmarkEnd w:id="75"/>
    <w:bookmarkEnd w:id="76"/>
    <w:p w14:paraId="2631ADFD">
      <w:pPr>
        <w:widowControl/>
        <w:suppressAutoHyphens/>
        <w:bidi w:val="0"/>
        <w:spacing w:before="120" w:after="120" w:line="480" w:lineRule="auto"/>
        <w:ind w:firstLine="720"/>
        <w:jc w:val="left"/>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Table 1: Demographic characteristics</w:t>
      </w:r>
    </w:p>
    <w:tbl>
      <w:tblPr>
        <w:tblStyle w:val="12"/>
        <w:tblW w:w="8599" w:type="dxa"/>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fixed"/>
        <w:tblCellMar>
          <w:top w:w="0" w:type="dxa"/>
          <w:left w:w="108" w:type="dxa"/>
          <w:bottom w:w="0" w:type="dxa"/>
          <w:right w:w="108" w:type="dxa"/>
        </w:tblCellMar>
      </w:tblPr>
      <w:tblGrid>
        <w:gridCol w:w="2599"/>
        <w:gridCol w:w="2601"/>
        <w:gridCol w:w="1600"/>
        <w:gridCol w:w="1799"/>
      </w:tblGrid>
      <w:tr w14:paraId="6C2532A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bottom w:val="single" w:color="auto" w:sz="4" w:space="0"/>
            </w:tcBorders>
          </w:tcPr>
          <w:p w14:paraId="5EC3462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Variable</w:t>
            </w:r>
          </w:p>
        </w:tc>
        <w:tc>
          <w:tcPr>
            <w:tcW w:w="2601" w:type="dxa"/>
            <w:tcBorders>
              <w:top w:val="single" w:color="auto" w:sz="4" w:space="0"/>
              <w:bottom w:val="single" w:color="auto" w:sz="4" w:space="0"/>
            </w:tcBorders>
          </w:tcPr>
          <w:p w14:paraId="399B2FE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Category</w:t>
            </w:r>
          </w:p>
        </w:tc>
        <w:tc>
          <w:tcPr>
            <w:tcW w:w="1600" w:type="dxa"/>
            <w:tcBorders>
              <w:top w:val="single" w:color="auto" w:sz="4" w:space="0"/>
              <w:bottom w:val="single" w:color="auto" w:sz="4" w:space="0"/>
            </w:tcBorders>
          </w:tcPr>
          <w:p w14:paraId="2A49027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Frequency</w:t>
            </w:r>
          </w:p>
        </w:tc>
        <w:tc>
          <w:tcPr>
            <w:tcW w:w="1799" w:type="dxa"/>
            <w:tcBorders>
              <w:top w:val="single" w:color="auto" w:sz="4" w:space="0"/>
              <w:bottom w:val="single" w:color="auto" w:sz="4" w:space="0"/>
            </w:tcBorders>
          </w:tcPr>
          <w:p w14:paraId="2B4437B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Percentage (%)</w:t>
            </w:r>
          </w:p>
        </w:tc>
      </w:tr>
      <w:tr w14:paraId="06C521A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bottom w:val="single" w:color="BEBEBE" w:sz="4" w:space="0"/>
            </w:tcBorders>
          </w:tcPr>
          <w:p w14:paraId="3215912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Gender</w:t>
            </w:r>
          </w:p>
        </w:tc>
        <w:tc>
          <w:tcPr>
            <w:tcW w:w="2601" w:type="dxa"/>
            <w:tcBorders>
              <w:top w:val="single" w:color="auto" w:sz="4" w:space="0"/>
              <w:bottom w:val="single" w:color="BEBEBE" w:sz="4" w:space="0"/>
            </w:tcBorders>
          </w:tcPr>
          <w:p w14:paraId="3CE75C4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Male</w:t>
            </w:r>
          </w:p>
        </w:tc>
        <w:tc>
          <w:tcPr>
            <w:tcW w:w="1600" w:type="dxa"/>
            <w:tcBorders>
              <w:top w:val="single" w:color="auto" w:sz="4" w:space="0"/>
              <w:bottom w:val="single" w:color="BEBEBE" w:sz="4" w:space="0"/>
            </w:tcBorders>
          </w:tcPr>
          <w:p w14:paraId="5AF8130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799" w:type="dxa"/>
            <w:tcBorders>
              <w:top w:val="single" w:color="auto" w:sz="4" w:space="0"/>
              <w:bottom w:val="single" w:color="BEBEBE" w:sz="4" w:space="0"/>
            </w:tcBorders>
          </w:tcPr>
          <w:p w14:paraId="23B8488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w:t>
            </w:r>
          </w:p>
        </w:tc>
      </w:tr>
      <w:tr w14:paraId="51313E7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51D3E12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7295417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Female</w:t>
            </w:r>
          </w:p>
        </w:tc>
        <w:tc>
          <w:tcPr>
            <w:tcW w:w="1600" w:type="dxa"/>
            <w:tcBorders>
              <w:bottom w:val="single" w:color="auto" w:sz="4" w:space="0"/>
            </w:tcBorders>
          </w:tcPr>
          <w:p w14:paraId="77D95A9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799" w:type="dxa"/>
            <w:tcBorders>
              <w:bottom w:val="single" w:color="auto" w:sz="4" w:space="0"/>
            </w:tcBorders>
          </w:tcPr>
          <w:p w14:paraId="6820B0E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60</w:t>
            </w:r>
          </w:p>
        </w:tc>
      </w:tr>
      <w:tr w14:paraId="2CA43E3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720D45C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Age</w:t>
            </w:r>
          </w:p>
        </w:tc>
        <w:tc>
          <w:tcPr>
            <w:tcW w:w="2601" w:type="dxa"/>
            <w:tcBorders>
              <w:top w:val="single" w:color="auto" w:sz="4" w:space="0"/>
            </w:tcBorders>
          </w:tcPr>
          <w:p w14:paraId="2A59186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18-25</w:t>
            </w:r>
          </w:p>
        </w:tc>
        <w:tc>
          <w:tcPr>
            <w:tcW w:w="1600" w:type="dxa"/>
            <w:tcBorders>
              <w:top w:val="single" w:color="auto" w:sz="4" w:space="0"/>
            </w:tcBorders>
          </w:tcPr>
          <w:p w14:paraId="57AFD93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22</w:t>
            </w:r>
          </w:p>
        </w:tc>
        <w:tc>
          <w:tcPr>
            <w:tcW w:w="1799" w:type="dxa"/>
            <w:tcBorders>
              <w:top w:val="single" w:color="auto" w:sz="4" w:space="0"/>
            </w:tcBorders>
          </w:tcPr>
          <w:p w14:paraId="5032C92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44</w:t>
            </w:r>
          </w:p>
        </w:tc>
      </w:tr>
      <w:tr w14:paraId="5F442FE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1E0701C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4083041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26-35</w:t>
            </w:r>
          </w:p>
        </w:tc>
        <w:tc>
          <w:tcPr>
            <w:tcW w:w="1600" w:type="dxa"/>
          </w:tcPr>
          <w:p w14:paraId="3056215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15</w:t>
            </w:r>
          </w:p>
        </w:tc>
        <w:tc>
          <w:tcPr>
            <w:tcW w:w="1799" w:type="dxa"/>
          </w:tcPr>
          <w:p w14:paraId="630E383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r>
      <w:tr w14:paraId="3E1953C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0B1BBDA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6585B4C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36-45</w:t>
            </w:r>
          </w:p>
        </w:tc>
        <w:tc>
          <w:tcPr>
            <w:tcW w:w="1600" w:type="dxa"/>
            <w:tcBorders>
              <w:bottom w:val="single" w:color="BEBEBE" w:sz="4" w:space="0"/>
            </w:tcBorders>
          </w:tcPr>
          <w:p w14:paraId="78B8B2E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9</w:t>
            </w:r>
          </w:p>
        </w:tc>
        <w:tc>
          <w:tcPr>
            <w:tcW w:w="1799" w:type="dxa"/>
            <w:tcBorders>
              <w:bottom w:val="single" w:color="BEBEBE" w:sz="4" w:space="0"/>
            </w:tcBorders>
          </w:tcPr>
          <w:p w14:paraId="71D3044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18</w:t>
            </w:r>
          </w:p>
        </w:tc>
      </w:tr>
      <w:tr w14:paraId="240858A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454262D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74E06D2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46-60</w:t>
            </w:r>
          </w:p>
        </w:tc>
        <w:tc>
          <w:tcPr>
            <w:tcW w:w="1600" w:type="dxa"/>
            <w:tcBorders>
              <w:bottom w:val="single" w:color="auto" w:sz="4" w:space="0"/>
            </w:tcBorders>
          </w:tcPr>
          <w:p w14:paraId="264D353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w:t>
            </w:r>
          </w:p>
        </w:tc>
        <w:tc>
          <w:tcPr>
            <w:tcW w:w="1799" w:type="dxa"/>
            <w:tcBorders>
              <w:bottom w:val="single" w:color="auto" w:sz="4" w:space="0"/>
            </w:tcBorders>
          </w:tcPr>
          <w:p w14:paraId="1C819AB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8</w:t>
            </w:r>
          </w:p>
        </w:tc>
      </w:tr>
      <w:tr w14:paraId="5BE17EA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62B2EA4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Education</w:t>
            </w:r>
          </w:p>
        </w:tc>
        <w:tc>
          <w:tcPr>
            <w:tcW w:w="2601" w:type="dxa"/>
            <w:tcBorders>
              <w:top w:val="single" w:color="auto" w:sz="4" w:space="0"/>
            </w:tcBorders>
          </w:tcPr>
          <w:p w14:paraId="1FEA372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WASSCE/SSCE</w:t>
            </w:r>
          </w:p>
        </w:tc>
        <w:tc>
          <w:tcPr>
            <w:tcW w:w="1600" w:type="dxa"/>
            <w:tcBorders>
              <w:top w:val="single" w:color="auto" w:sz="4" w:space="0"/>
            </w:tcBorders>
          </w:tcPr>
          <w:p w14:paraId="1E9914C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w:t>
            </w:r>
          </w:p>
        </w:tc>
        <w:tc>
          <w:tcPr>
            <w:tcW w:w="1799" w:type="dxa"/>
            <w:tcBorders>
              <w:top w:val="single" w:color="auto" w:sz="4" w:space="0"/>
            </w:tcBorders>
          </w:tcPr>
          <w:p w14:paraId="58DF52B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w:t>
            </w:r>
          </w:p>
        </w:tc>
      </w:tr>
      <w:tr w14:paraId="16C7C4B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78F208E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7C1C2A2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Diploma/HND</w:t>
            </w:r>
          </w:p>
        </w:tc>
        <w:tc>
          <w:tcPr>
            <w:tcW w:w="1600" w:type="dxa"/>
          </w:tcPr>
          <w:p w14:paraId="492434B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w:t>
            </w:r>
          </w:p>
        </w:tc>
        <w:tc>
          <w:tcPr>
            <w:tcW w:w="1799" w:type="dxa"/>
          </w:tcPr>
          <w:p w14:paraId="3B4B034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6</w:t>
            </w:r>
          </w:p>
        </w:tc>
      </w:tr>
      <w:tr w14:paraId="64BC923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1DA75E0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4E86D8B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Bachelor’s degree</w:t>
            </w:r>
          </w:p>
        </w:tc>
        <w:tc>
          <w:tcPr>
            <w:tcW w:w="1600" w:type="dxa"/>
          </w:tcPr>
          <w:p w14:paraId="7D2D743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31</w:t>
            </w:r>
          </w:p>
        </w:tc>
        <w:tc>
          <w:tcPr>
            <w:tcW w:w="1799" w:type="dxa"/>
          </w:tcPr>
          <w:p w14:paraId="4C606AB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62</w:t>
            </w:r>
          </w:p>
        </w:tc>
      </w:tr>
      <w:tr w14:paraId="4622AE3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69FE5ED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1B21E7A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Master’s degree</w:t>
            </w:r>
          </w:p>
        </w:tc>
        <w:tc>
          <w:tcPr>
            <w:tcW w:w="1600" w:type="dxa"/>
            <w:tcBorders>
              <w:bottom w:val="single" w:color="BEBEBE" w:sz="4" w:space="0"/>
            </w:tcBorders>
          </w:tcPr>
          <w:p w14:paraId="2B24E9B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w:t>
            </w:r>
          </w:p>
        </w:tc>
        <w:tc>
          <w:tcPr>
            <w:tcW w:w="1799" w:type="dxa"/>
            <w:tcBorders>
              <w:bottom w:val="single" w:color="BEBEBE" w:sz="4" w:space="0"/>
            </w:tcBorders>
          </w:tcPr>
          <w:p w14:paraId="639C070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24</w:t>
            </w:r>
          </w:p>
        </w:tc>
      </w:tr>
      <w:tr w14:paraId="08B6F06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312F1FF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62A7CB5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PhD</w:t>
            </w:r>
          </w:p>
        </w:tc>
        <w:tc>
          <w:tcPr>
            <w:tcW w:w="1600" w:type="dxa"/>
            <w:tcBorders>
              <w:bottom w:val="single" w:color="auto" w:sz="4" w:space="0"/>
            </w:tcBorders>
          </w:tcPr>
          <w:p w14:paraId="138C478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w:t>
            </w:r>
          </w:p>
        </w:tc>
        <w:tc>
          <w:tcPr>
            <w:tcW w:w="1799" w:type="dxa"/>
            <w:tcBorders>
              <w:bottom w:val="single" w:color="auto" w:sz="4" w:space="0"/>
            </w:tcBorders>
          </w:tcPr>
          <w:p w14:paraId="327EDA4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w:t>
            </w:r>
          </w:p>
        </w:tc>
      </w:tr>
      <w:tr w14:paraId="7DB8102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06E29A5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Tenure</w:t>
            </w:r>
          </w:p>
        </w:tc>
        <w:tc>
          <w:tcPr>
            <w:tcW w:w="2601" w:type="dxa"/>
            <w:tcBorders>
              <w:top w:val="single" w:color="auto" w:sz="4" w:space="0"/>
            </w:tcBorders>
          </w:tcPr>
          <w:p w14:paraId="4AB39D9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&lt;4years</w:t>
            </w:r>
          </w:p>
        </w:tc>
        <w:tc>
          <w:tcPr>
            <w:tcW w:w="1600" w:type="dxa"/>
            <w:tcBorders>
              <w:top w:val="single" w:color="auto" w:sz="4" w:space="0"/>
            </w:tcBorders>
          </w:tcPr>
          <w:p w14:paraId="66FE4ED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29</w:t>
            </w:r>
          </w:p>
        </w:tc>
        <w:tc>
          <w:tcPr>
            <w:tcW w:w="1799" w:type="dxa"/>
            <w:tcBorders>
              <w:top w:val="single" w:color="auto" w:sz="4" w:space="0"/>
            </w:tcBorders>
          </w:tcPr>
          <w:p w14:paraId="1F7B274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58</w:t>
            </w:r>
          </w:p>
        </w:tc>
      </w:tr>
      <w:tr w14:paraId="379AAD0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3B317DB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2F2F887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5-10years</w:t>
            </w:r>
          </w:p>
        </w:tc>
        <w:tc>
          <w:tcPr>
            <w:tcW w:w="1600" w:type="dxa"/>
          </w:tcPr>
          <w:p w14:paraId="282D551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799" w:type="dxa"/>
          </w:tcPr>
          <w:p w14:paraId="2B81BB7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r>
      <w:tr w14:paraId="78C4946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277F70E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266EC61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11-15years</w:t>
            </w:r>
          </w:p>
        </w:tc>
        <w:tc>
          <w:tcPr>
            <w:tcW w:w="1600" w:type="dxa"/>
            <w:tcBorders>
              <w:bottom w:val="single" w:color="BEBEBE" w:sz="4" w:space="0"/>
            </w:tcBorders>
          </w:tcPr>
          <w:p w14:paraId="287588C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8</w:t>
            </w:r>
          </w:p>
        </w:tc>
        <w:tc>
          <w:tcPr>
            <w:tcW w:w="1799" w:type="dxa"/>
            <w:tcBorders>
              <w:bottom w:val="single" w:color="BEBEBE" w:sz="4" w:space="0"/>
            </w:tcBorders>
          </w:tcPr>
          <w:p w14:paraId="26C0BE7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16</w:t>
            </w:r>
          </w:p>
        </w:tc>
      </w:tr>
      <w:tr w14:paraId="237E815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49DD0F8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657AE94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&gt;16years</w:t>
            </w:r>
          </w:p>
        </w:tc>
        <w:tc>
          <w:tcPr>
            <w:tcW w:w="1600" w:type="dxa"/>
            <w:tcBorders>
              <w:bottom w:val="single" w:color="auto" w:sz="4" w:space="0"/>
            </w:tcBorders>
          </w:tcPr>
          <w:p w14:paraId="42D9D05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w:t>
            </w:r>
          </w:p>
        </w:tc>
        <w:tc>
          <w:tcPr>
            <w:tcW w:w="1799" w:type="dxa"/>
            <w:tcBorders>
              <w:bottom w:val="single" w:color="auto" w:sz="4" w:space="0"/>
            </w:tcBorders>
          </w:tcPr>
          <w:p w14:paraId="7F3B80E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6</w:t>
            </w:r>
          </w:p>
        </w:tc>
      </w:tr>
      <w:tr w14:paraId="5FC76D4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571B619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Position</w:t>
            </w:r>
          </w:p>
        </w:tc>
        <w:tc>
          <w:tcPr>
            <w:tcW w:w="2601" w:type="dxa"/>
            <w:tcBorders>
              <w:top w:val="single" w:color="auto" w:sz="4" w:space="0"/>
            </w:tcBorders>
          </w:tcPr>
          <w:p w14:paraId="3B23C74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Junior level official</w:t>
            </w:r>
          </w:p>
        </w:tc>
        <w:tc>
          <w:tcPr>
            <w:tcW w:w="1600" w:type="dxa"/>
            <w:tcBorders>
              <w:top w:val="single" w:color="auto" w:sz="4" w:space="0"/>
            </w:tcBorders>
          </w:tcPr>
          <w:p w14:paraId="6EEDBB2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24</w:t>
            </w:r>
          </w:p>
        </w:tc>
        <w:tc>
          <w:tcPr>
            <w:tcW w:w="1799" w:type="dxa"/>
            <w:tcBorders>
              <w:top w:val="single" w:color="auto" w:sz="4" w:space="0"/>
            </w:tcBorders>
          </w:tcPr>
          <w:p w14:paraId="31353AD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48</w:t>
            </w:r>
          </w:p>
        </w:tc>
      </w:tr>
      <w:tr w14:paraId="65CD7FC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29487FA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526A2BA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Middle level official</w:t>
            </w:r>
          </w:p>
        </w:tc>
        <w:tc>
          <w:tcPr>
            <w:tcW w:w="1600" w:type="dxa"/>
            <w:tcBorders>
              <w:bottom w:val="single" w:color="BEBEBE" w:sz="4" w:space="0"/>
            </w:tcBorders>
          </w:tcPr>
          <w:p w14:paraId="4D64D64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14</w:t>
            </w:r>
          </w:p>
        </w:tc>
        <w:tc>
          <w:tcPr>
            <w:tcW w:w="1799" w:type="dxa"/>
            <w:tcBorders>
              <w:bottom w:val="single" w:color="BEBEBE" w:sz="4" w:space="0"/>
            </w:tcBorders>
          </w:tcPr>
          <w:p w14:paraId="1EE2702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28</w:t>
            </w:r>
          </w:p>
        </w:tc>
      </w:tr>
      <w:tr w14:paraId="3D5882F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4573F52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793EF6B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Senior level official</w:t>
            </w:r>
          </w:p>
        </w:tc>
        <w:tc>
          <w:tcPr>
            <w:tcW w:w="1600" w:type="dxa"/>
            <w:tcBorders>
              <w:bottom w:val="single" w:color="auto" w:sz="4" w:space="0"/>
            </w:tcBorders>
          </w:tcPr>
          <w:p w14:paraId="7AA9154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w:t>
            </w:r>
          </w:p>
        </w:tc>
        <w:tc>
          <w:tcPr>
            <w:tcW w:w="1799" w:type="dxa"/>
            <w:tcBorders>
              <w:bottom w:val="single" w:color="auto" w:sz="4" w:space="0"/>
            </w:tcBorders>
          </w:tcPr>
          <w:p w14:paraId="11BB1EB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24</w:t>
            </w:r>
          </w:p>
        </w:tc>
      </w:tr>
      <w:tr w14:paraId="59C9B79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212A40F8">
            <w:pPr>
              <w:widowControl/>
              <w:suppressAutoHyphens/>
              <w:bidi w:val="0"/>
              <w:spacing w:before="120" w:after="120" w:line="360" w:lineRule="auto"/>
              <w:ind w:firstLine="720"/>
              <w:jc w:val="left"/>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Business Type</w:t>
            </w:r>
          </w:p>
        </w:tc>
        <w:tc>
          <w:tcPr>
            <w:tcW w:w="2601" w:type="dxa"/>
            <w:tcBorders>
              <w:top w:val="single" w:color="auto" w:sz="4" w:space="0"/>
            </w:tcBorders>
          </w:tcPr>
          <w:p w14:paraId="168C9C6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Food &amp; Beverages</w:t>
            </w:r>
          </w:p>
        </w:tc>
        <w:tc>
          <w:tcPr>
            <w:tcW w:w="1600" w:type="dxa"/>
            <w:tcBorders>
              <w:top w:val="single" w:color="auto" w:sz="4" w:space="0"/>
            </w:tcBorders>
          </w:tcPr>
          <w:p w14:paraId="7E207F7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w:t>
            </w:r>
          </w:p>
        </w:tc>
        <w:tc>
          <w:tcPr>
            <w:tcW w:w="1799" w:type="dxa"/>
            <w:tcBorders>
              <w:top w:val="single" w:color="auto" w:sz="4" w:space="0"/>
            </w:tcBorders>
          </w:tcPr>
          <w:p w14:paraId="79B90DE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24</w:t>
            </w:r>
          </w:p>
        </w:tc>
      </w:tr>
      <w:tr w14:paraId="638AA1D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52E13C6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0DB0DBC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Banking</w:t>
            </w:r>
          </w:p>
        </w:tc>
        <w:tc>
          <w:tcPr>
            <w:tcW w:w="1600" w:type="dxa"/>
          </w:tcPr>
          <w:p w14:paraId="2B28EFE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9</w:t>
            </w:r>
          </w:p>
        </w:tc>
        <w:tc>
          <w:tcPr>
            <w:tcW w:w="1799" w:type="dxa"/>
          </w:tcPr>
          <w:p w14:paraId="128F904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18</w:t>
            </w:r>
          </w:p>
        </w:tc>
      </w:tr>
      <w:tr w14:paraId="4DCDC40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0786385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1022D10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Education</w:t>
            </w:r>
          </w:p>
        </w:tc>
        <w:tc>
          <w:tcPr>
            <w:tcW w:w="1600" w:type="dxa"/>
          </w:tcPr>
          <w:p w14:paraId="1EF2A81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6</w:t>
            </w:r>
          </w:p>
        </w:tc>
        <w:tc>
          <w:tcPr>
            <w:tcW w:w="1799" w:type="dxa"/>
          </w:tcPr>
          <w:p w14:paraId="7433B1D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w:t>
            </w:r>
          </w:p>
        </w:tc>
      </w:tr>
      <w:tr w14:paraId="5EC3082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3D09E7F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7398111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Clothing &amp; Textile</w:t>
            </w:r>
          </w:p>
        </w:tc>
        <w:tc>
          <w:tcPr>
            <w:tcW w:w="1600" w:type="dxa"/>
          </w:tcPr>
          <w:p w14:paraId="287056D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w:t>
            </w:r>
          </w:p>
        </w:tc>
        <w:tc>
          <w:tcPr>
            <w:tcW w:w="1799" w:type="dxa"/>
          </w:tcPr>
          <w:p w14:paraId="2DB0C3D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r>
      <w:tr w14:paraId="6DE147C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100FA00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3B4C77D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Construction</w:t>
            </w:r>
          </w:p>
        </w:tc>
        <w:tc>
          <w:tcPr>
            <w:tcW w:w="1600" w:type="dxa"/>
          </w:tcPr>
          <w:p w14:paraId="5C1A5CD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w:t>
            </w:r>
          </w:p>
        </w:tc>
        <w:tc>
          <w:tcPr>
            <w:tcW w:w="1799" w:type="dxa"/>
          </w:tcPr>
          <w:p w14:paraId="49F50DA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r>
      <w:tr w14:paraId="4DC9C12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16EDD16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7615996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Insurance</w:t>
            </w:r>
          </w:p>
        </w:tc>
        <w:tc>
          <w:tcPr>
            <w:tcW w:w="1600" w:type="dxa"/>
          </w:tcPr>
          <w:p w14:paraId="28D1F4E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w:t>
            </w:r>
          </w:p>
        </w:tc>
        <w:tc>
          <w:tcPr>
            <w:tcW w:w="1799" w:type="dxa"/>
          </w:tcPr>
          <w:p w14:paraId="3E439FD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r>
      <w:tr w14:paraId="2D8AFF8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5B07D42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6EA38E1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Hospitality</w:t>
            </w:r>
          </w:p>
        </w:tc>
        <w:tc>
          <w:tcPr>
            <w:tcW w:w="1600" w:type="dxa"/>
          </w:tcPr>
          <w:p w14:paraId="1DBF4BE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w:t>
            </w:r>
          </w:p>
        </w:tc>
        <w:tc>
          <w:tcPr>
            <w:tcW w:w="1799" w:type="dxa"/>
          </w:tcPr>
          <w:p w14:paraId="12B7E7C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8</w:t>
            </w:r>
          </w:p>
        </w:tc>
      </w:tr>
      <w:tr w14:paraId="11C4EAA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6C71C8F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4B3DF9B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Wood &amp; Furniture</w:t>
            </w:r>
          </w:p>
        </w:tc>
        <w:tc>
          <w:tcPr>
            <w:tcW w:w="1600" w:type="dxa"/>
          </w:tcPr>
          <w:p w14:paraId="59DB3E5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w:t>
            </w:r>
          </w:p>
        </w:tc>
        <w:tc>
          <w:tcPr>
            <w:tcW w:w="1799" w:type="dxa"/>
          </w:tcPr>
          <w:p w14:paraId="6705EEE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w:t>
            </w:r>
          </w:p>
        </w:tc>
      </w:tr>
      <w:tr w14:paraId="29DB69B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1692A42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3CF22B1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Legal</w:t>
            </w:r>
          </w:p>
        </w:tc>
        <w:tc>
          <w:tcPr>
            <w:tcW w:w="1600" w:type="dxa"/>
            <w:tcBorders>
              <w:bottom w:val="single" w:color="BEBEBE" w:sz="4" w:space="0"/>
            </w:tcBorders>
          </w:tcPr>
          <w:p w14:paraId="4CF7028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w:t>
            </w:r>
          </w:p>
        </w:tc>
        <w:tc>
          <w:tcPr>
            <w:tcW w:w="1799" w:type="dxa"/>
            <w:tcBorders>
              <w:bottom w:val="single" w:color="BEBEBE" w:sz="4" w:space="0"/>
            </w:tcBorders>
          </w:tcPr>
          <w:p w14:paraId="4A7B983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w:t>
            </w:r>
          </w:p>
        </w:tc>
      </w:tr>
      <w:tr w14:paraId="4473A0F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53FACAB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13A0F37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Transport</w:t>
            </w:r>
          </w:p>
        </w:tc>
        <w:tc>
          <w:tcPr>
            <w:tcW w:w="1600" w:type="dxa"/>
            <w:tcBorders>
              <w:bottom w:val="single" w:color="auto" w:sz="4" w:space="0"/>
            </w:tcBorders>
          </w:tcPr>
          <w:p w14:paraId="6D374B9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w:t>
            </w:r>
          </w:p>
        </w:tc>
        <w:tc>
          <w:tcPr>
            <w:tcW w:w="1799" w:type="dxa"/>
            <w:tcBorders>
              <w:bottom w:val="single" w:color="auto" w:sz="4" w:space="0"/>
            </w:tcBorders>
          </w:tcPr>
          <w:p w14:paraId="3B216B8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w:t>
            </w:r>
          </w:p>
        </w:tc>
      </w:tr>
      <w:tr w14:paraId="1FD18E2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727959E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Industry</w:t>
            </w:r>
          </w:p>
        </w:tc>
        <w:tc>
          <w:tcPr>
            <w:tcW w:w="2601" w:type="dxa"/>
            <w:tcBorders>
              <w:top w:val="single" w:color="auto" w:sz="4" w:space="0"/>
            </w:tcBorders>
          </w:tcPr>
          <w:p w14:paraId="03DB0AC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Manufacturing</w:t>
            </w:r>
          </w:p>
        </w:tc>
        <w:tc>
          <w:tcPr>
            <w:tcW w:w="1600" w:type="dxa"/>
            <w:tcBorders>
              <w:top w:val="single" w:color="auto" w:sz="4" w:space="0"/>
            </w:tcBorders>
          </w:tcPr>
          <w:p w14:paraId="1C7E5E21">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15</w:t>
            </w:r>
          </w:p>
        </w:tc>
        <w:tc>
          <w:tcPr>
            <w:tcW w:w="1799" w:type="dxa"/>
            <w:tcBorders>
              <w:top w:val="single" w:color="auto" w:sz="4" w:space="0"/>
            </w:tcBorders>
          </w:tcPr>
          <w:p w14:paraId="5964D06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r>
      <w:tr w14:paraId="64EB2F6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46FA394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75F4BF2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Service</w:t>
            </w:r>
          </w:p>
        </w:tc>
        <w:tc>
          <w:tcPr>
            <w:tcW w:w="1600" w:type="dxa"/>
          </w:tcPr>
          <w:p w14:paraId="2365C075">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29</w:t>
            </w:r>
          </w:p>
        </w:tc>
        <w:tc>
          <w:tcPr>
            <w:tcW w:w="1799" w:type="dxa"/>
          </w:tcPr>
          <w:p w14:paraId="2AF8080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58</w:t>
            </w:r>
          </w:p>
        </w:tc>
      </w:tr>
      <w:tr w14:paraId="6EC015F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6F9AD84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30C3A10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Agriculture</w:t>
            </w:r>
          </w:p>
        </w:tc>
        <w:tc>
          <w:tcPr>
            <w:tcW w:w="1600" w:type="dxa"/>
            <w:tcBorders>
              <w:bottom w:val="single" w:color="BEBEBE" w:sz="4" w:space="0"/>
            </w:tcBorders>
          </w:tcPr>
          <w:p w14:paraId="653D423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w:t>
            </w:r>
          </w:p>
        </w:tc>
        <w:tc>
          <w:tcPr>
            <w:tcW w:w="1799" w:type="dxa"/>
            <w:tcBorders>
              <w:bottom w:val="single" w:color="BEBEBE" w:sz="4" w:space="0"/>
            </w:tcBorders>
          </w:tcPr>
          <w:p w14:paraId="1A73391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8</w:t>
            </w:r>
          </w:p>
        </w:tc>
      </w:tr>
      <w:tr w14:paraId="45D592C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696A831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4AB7521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Retail Trading</w:t>
            </w:r>
          </w:p>
        </w:tc>
        <w:tc>
          <w:tcPr>
            <w:tcW w:w="1600" w:type="dxa"/>
            <w:tcBorders>
              <w:bottom w:val="single" w:color="auto" w:sz="4" w:space="0"/>
            </w:tcBorders>
          </w:tcPr>
          <w:p w14:paraId="1BCEE1A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w:t>
            </w:r>
          </w:p>
        </w:tc>
        <w:tc>
          <w:tcPr>
            <w:tcW w:w="1799" w:type="dxa"/>
            <w:tcBorders>
              <w:bottom w:val="single" w:color="auto" w:sz="4" w:space="0"/>
            </w:tcBorders>
          </w:tcPr>
          <w:p w14:paraId="601E75E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w:t>
            </w:r>
          </w:p>
        </w:tc>
      </w:tr>
      <w:tr w14:paraId="2EA4BD8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7549B9CC">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Employees</w:t>
            </w:r>
          </w:p>
        </w:tc>
        <w:tc>
          <w:tcPr>
            <w:tcW w:w="2601" w:type="dxa"/>
            <w:tcBorders>
              <w:top w:val="single" w:color="auto" w:sz="4" w:space="0"/>
            </w:tcBorders>
          </w:tcPr>
          <w:p w14:paraId="0590262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&lt;5</w:t>
            </w:r>
          </w:p>
        </w:tc>
        <w:tc>
          <w:tcPr>
            <w:tcW w:w="1600" w:type="dxa"/>
            <w:tcBorders>
              <w:top w:val="single" w:color="auto" w:sz="4" w:space="0"/>
            </w:tcBorders>
          </w:tcPr>
          <w:p w14:paraId="426D38C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8</w:t>
            </w:r>
          </w:p>
        </w:tc>
        <w:tc>
          <w:tcPr>
            <w:tcW w:w="1799" w:type="dxa"/>
            <w:tcBorders>
              <w:top w:val="single" w:color="auto" w:sz="4" w:space="0"/>
            </w:tcBorders>
          </w:tcPr>
          <w:p w14:paraId="55B1AF4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16</w:t>
            </w:r>
          </w:p>
        </w:tc>
      </w:tr>
      <w:tr w14:paraId="548BFC7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4BA0AA8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552B47A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6-30</w:t>
            </w:r>
          </w:p>
        </w:tc>
        <w:tc>
          <w:tcPr>
            <w:tcW w:w="1600" w:type="dxa"/>
          </w:tcPr>
          <w:p w14:paraId="51D83AB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17</w:t>
            </w:r>
          </w:p>
        </w:tc>
        <w:tc>
          <w:tcPr>
            <w:tcW w:w="1799" w:type="dxa"/>
          </w:tcPr>
          <w:p w14:paraId="0F6EFC3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34</w:t>
            </w:r>
          </w:p>
        </w:tc>
      </w:tr>
      <w:tr w14:paraId="46ADFEA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6431AE02">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6E9D1C8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31-100</w:t>
            </w:r>
          </w:p>
        </w:tc>
        <w:tc>
          <w:tcPr>
            <w:tcW w:w="1600" w:type="dxa"/>
          </w:tcPr>
          <w:p w14:paraId="4B6C480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15</w:t>
            </w:r>
          </w:p>
        </w:tc>
        <w:tc>
          <w:tcPr>
            <w:tcW w:w="1799" w:type="dxa"/>
          </w:tcPr>
          <w:p w14:paraId="40F962A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r>
      <w:tr w14:paraId="1D4BF4D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58E17113">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24BFF67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101-250</w:t>
            </w:r>
          </w:p>
        </w:tc>
        <w:tc>
          <w:tcPr>
            <w:tcW w:w="1600" w:type="dxa"/>
            <w:tcBorders>
              <w:bottom w:val="single" w:color="BEBEBE" w:sz="4" w:space="0"/>
            </w:tcBorders>
          </w:tcPr>
          <w:p w14:paraId="5073B21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9</w:t>
            </w:r>
          </w:p>
        </w:tc>
        <w:tc>
          <w:tcPr>
            <w:tcW w:w="1799" w:type="dxa"/>
            <w:tcBorders>
              <w:bottom w:val="single" w:color="BEBEBE" w:sz="4" w:space="0"/>
            </w:tcBorders>
          </w:tcPr>
          <w:p w14:paraId="4A88CFBF">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18</w:t>
            </w:r>
          </w:p>
        </w:tc>
      </w:tr>
      <w:tr w14:paraId="476CC4D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4AB7BCE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4B8A153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&gt;250</w:t>
            </w:r>
          </w:p>
        </w:tc>
        <w:tc>
          <w:tcPr>
            <w:tcW w:w="1600" w:type="dxa"/>
            <w:tcBorders>
              <w:bottom w:val="single" w:color="auto" w:sz="4" w:space="0"/>
            </w:tcBorders>
          </w:tcPr>
          <w:p w14:paraId="7243B01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w:t>
            </w:r>
          </w:p>
        </w:tc>
        <w:tc>
          <w:tcPr>
            <w:tcW w:w="1799" w:type="dxa"/>
            <w:tcBorders>
              <w:bottom w:val="single" w:color="auto" w:sz="4" w:space="0"/>
            </w:tcBorders>
          </w:tcPr>
          <w:p w14:paraId="0B9FDAE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w:t>
            </w:r>
          </w:p>
        </w:tc>
      </w:tr>
      <w:tr w14:paraId="15278BC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top w:val="single" w:color="auto" w:sz="4" w:space="0"/>
            </w:tcBorders>
          </w:tcPr>
          <w:p w14:paraId="30164F51">
            <w:pPr>
              <w:widowControl/>
              <w:suppressAutoHyphens/>
              <w:bidi w:val="0"/>
              <w:spacing w:before="120" w:after="120" w:line="360" w:lineRule="auto"/>
              <w:ind w:firstLine="720"/>
              <w:jc w:val="left"/>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Firm Age</w:t>
            </w:r>
          </w:p>
        </w:tc>
        <w:tc>
          <w:tcPr>
            <w:tcW w:w="2601" w:type="dxa"/>
            <w:tcBorders>
              <w:top w:val="single" w:color="auto" w:sz="4" w:space="0"/>
            </w:tcBorders>
          </w:tcPr>
          <w:p w14:paraId="63635EC4">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&lt;4years</w:t>
            </w:r>
          </w:p>
        </w:tc>
        <w:tc>
          <w:tcPr>
            <w:tcW w:w="1600" w:type="dxa"/>
            <w:tcBorders>
              <w:top w:val="single" w:color="auto" w:sz="4" w:space="0"/>
            </w:tcBorders>
          </w:tcPr>
          <w:p w14:paraId="18C204F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14</w:t>
            </w:r>
          </w:p>
        </w:tc>
        <w:tc>
          <w:tcPr>
            <w:tcW w:w="1799" w:type="dxa"/>
            <w:tcBorders>
              <w:top w:val="single" w:color="auto" w:sz="4" w:space="0"/>
            </w:tcBorders>
          </w:tcPr>
          <w:p w14:paraId="2376848E">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28</w:t>
            </w:r>
          </w:p>
        </w:tc>
      </w:tr>
      <w:tr w14:paraId="384FB7A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Pr>
          <w:p w14:paraId="242404D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Pr>
          <w:p w14:paraId="295DA9E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 xml:space="preserve">5-10years </w:t>
            </w:r>
          </w:p>
        </w:tc>
        <w:tc>
          <w:tcPr>
            <w:tcW w:w="1600" w:type="dxa"/>
          </w:tcPr>
          <w:p w14:paraId="1D8E2919">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w:t>
            </w:r>
          </w:p>
        </w:tc>
        <w:tc>
          <w:tcPr>
            <w:tcW w:w="1799" w:type="dxa"/>
          </w:tcPr>
          <w:p w14:paraId="3F8326C0">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24</w:t>
            </w:r>
          </w:p>
        </w:tc>
      </w:tr>
      <w:tr w14:paraId="261CF8C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BEBEBE" w:sz="4" w:space="0"/>
            </w:tcBorders>
          </w:tcPr>
          <w:p w14:paraId="2C1C7D5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BEBEBE" w:sz="4" w:space="0"/>
            </w:tcBorders>
          </w:tcPr>
          <w:p w14:paraId="2D12696D">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11-15years</w:t>
            </w:r>
          </w:p>
        </w:tc>
        <w:tc>
          <w:tcPr>
            <w:tcW w:w="1600" w:type="dxa"/>
            <w:tcBorders>
              <w:bottom w:val="single" w:color="BEBEBE" w:sz="4" w:space="0"/>
            </w:tcBorders>
          </w:tcPr>
          <w:p w14:paraId="11B28DC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799" w:type="dxa"/>
            <w:tcBorders>
              <w:bottom w:val="single" w:color="BEBEBE" w:sz="4" w:space="0"/>
            </w:tcBorders>
          </w:tcPr>
          <w:p w14:paraId="0A608128">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r>
      <w:tr w14:paraId="7523ED8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2599" w:type="dxa"/>
            <w:tcBorders>
              <w:bottom w:val="single" w:color="auto" w:sz="4" w:space="0"/>
            </w:tcBorders>
          </w:tcPr>
          <w:p w14:paraId="27F245A7">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p>
        </w:tc>
        <w:tc>
          <w:tcPr>
            <w:tcW w:w="2601" w:type="dxa"/>
            <w:tcBorders>
              <w:bottom w:val="single" w:color="auto" w:sz="4" w:space="0"/>
            </w:tcBorders>
          </w:tcPr>
          <w:p w14:paraId="053F7D6A">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&gt;16years</w:t>
            </w:r>
          </w:p>
        </w:tc>
        <w:tc>
          <w:tcPr>
            <w:tcW w:w="1600" w:type="dxa"/>
            <w:tcBorders>
              <w:bottom w:val="single" w:color="auto" w:sz="4" w:space="0"/>
            </w:tcBorders>
          </w:tcPr>
          <w:p w14:paraId="0C9CA5AB">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14</w:t>
            </w:r>
          </w:p>
        </w:tc>
        <w:tc>
          <w:tcPr>
            <w:tcW w:w="1799" w:type="dxa"/>
            <w:tcBorders>
              <w:bottom w:val="single" w:color="auto" w:sz="4" w:space="0"/>
            </w:tcBorders>
          </w:tcPr>
          <w:p w14:paraId="2DBB55F6">
            <w:pPr>
              <w:widowControl/>
              <w:suppressAutoHyphens/>
              <w:bidi w:val="0"/>
              <w:spacing w:before="120" w:after="120" w:line="360" w:lineRule="auto"/>
              <w:ind w:firstLine="720"/>
              <w:jc w:val="left"/>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28</w:t>
            </w:r>
          </w:p>
        </w:tc>
      </w:tr>
    </w:tbl>
    <w:p w14:paraId="77699E25">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bookmarkStart w:id="77" w:name="_Toc112686806"/>
      <w:bookmarkStart w:id="78" w:name="_Toc90896347"/>
      <w:bookmarkStart w:id="79" w:name="_Toc112693643"/>
    </w:p>
    <w:p w14:paraId="6A04B33D">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Reliability test </w:t>
      </w:r>
    </w:p>
    <w:p w14:paraId="6CA097DC">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Cronbach’s alpha method was used to determine the reliability of the measurement scale. Which in a quantitative, study gives some extent of statistical assurance. For the reliability of items for statistical analysis, the Cronbach alpha scale should be 0.70 and above (Ravinder &amp; Saraswathi, 2020). The reliability test in this study indicated that except fraud prevention which fell slightly below the threshold, Cronbach alpha for the other items was above 0.70.</w:t>
      </w:r>
    </w:p>
    <w:p w14:paraId="3BEAF7FF">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p>
    <w:p w14:paraId="22A6F75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Reliability test of corporate governance</w:t>
      </w:r>
    </w:p>
    <w:p w14:paraId="7F279ED9">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table below shows the outcomes of the Cronbach’s alpha for the items measuring corporate governance. The alpha of the overall construct was 0.95. This indicates an internal consistency within the instruments and reliability for measuring inventory responsiveness in the study which has met the threshold of 0.70 and above (Ravinder &amp; Saraswathi, 2020)</w:t>
      </w:r>
      <w:bookmarkStart w:id="80" w:name="_Toc110000575"/>
      <w:bookmarkStart w:id="81" w:name="_Toc90304198"/>
      <w:r>
        <w:rPr>
          <w:rFonts w:ascii="Times New Roman" w:hAnsi="Times New Roman" w:eastAsia="Times New Roman" w:cs="Times New Roman"/>
          <w:color w:val="auto"/>
          <w:kern w:val="0"/>
          <w:sz w:val="24"/>
          <w:szCs w:val="24"/>
          <w:lang w:val="en-US"/>
          <w14:ligatures w14:val="none"/>
        </w:rPr>
        <w:t>.</w:t>
      </w:r>
    </w:p>
    <w:p w14:paraId="1F1D82AE">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 xml:space="preserve">              </w:t>
      </w:r>
    </w:p>
    <w:p w14:paraId="031FAF0C">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Table 2: Reliability test of corporate governance </w:t>
      </w:r>
      <w:r>
        <w:rPr>
          <w:rFonts w:ascii="Times New Roman" w:hAnsi="Times New Roman" w:eastAsia="Times New Roman" w:cs="Times New Roman"/>
          <w:color w:val="auto"/>
          <w:kern w:val="0"/>
          <w:lang w:val="en-US"/>
          <w14:ligatures w14:val="none"/>
        </w:rPr>
        <w:t xml:space="preserve"> </w:t>
      </w:r>
    </w:p>
    <w:tbl>
      <w:tblPr>
        <w:tblStyle w:val="12"/>
        <w:tblW w:w="0" w:type="auto"/>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1271"/>
        <w:gridCol w:w="5670"/>
        <w:gridCol w:w="2076"/>
      </w:tblGrid>
      <w:tr w14:paraId="267907C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top w:val="single" w:color="auto" w:sz="4" w:space="0"/>
              <w:bottom w:val="single" w:color="auto" w:sz="4" w:space="0"/>
            </w:tcBorders>
          </w:tcPr>
          <w:p w14:paraId="7AB772B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5670" w:type="dxa"/>
            <w:tcBorders>
              <w:top w:val="single" w:color="auto" w:sz="4" w:space="0"/>
              <w:bottom w:val="single" w:color="auto" w:sz="4" w:space="0"/>
            </w:tcBorders>
          </w:tcPr>
          <w:p w14:paraId="3239714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w:t>
            </w:r>
          </w:p>
        </w:tc>
        <w:tc>
          <w:tcPr>
            <w:tcW w:w="2076" w:type="dxa"/>
            <w:tcBorders>
              <w:top w:val="single" w:color="auto" w:sz="4" w:space="0"/>
              <w:bottom w:val="single" w:color="auto" w:sz="4" w:space="0"/>
            </w:tcBorders>
          </w:tcPr>
          <w:p w14:paraId="42A80F8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Cronbach alpha</w:t>
            </w:r>
          </w:p>
        </w:tc>
      </w:tr>
      <w:tr w14:paraId="56F78A7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top w:val="single" w:color="auto" w:sz="4" w:space="0"/>
            </w:tcBorders>
          </w:tcPr>
          <w:p w14:paraId="6C2D5D6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w:t>
            </w:r>
          </w:p>
        </w:tc>
        <w:tc>
          <w:tcPr>
            <w:tcW w:w="5670" w:type="dxa"/>
            <w:tcBorders>
              <w:top w:val="single" w:color="auto" w:sz="4" w:space="0"/>
            </w:tcBorders>
          </w:tcPr>
          <w:p w14:paraId="5C7F0DE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In my company, there is strategic planning lasting three years or more</w:t>
            </w:r>
          </w:p>
        </w:tc>
        <w:tc>
          <w:tcPr>
            <w:tcW w:w="2076" w:type="dxa"/>
            <w:tcBorders>
              <w:top w:val="single" w:color="auto" w:sz="4" w:space="0"/>
            </w:tcBorders>
          </w:tcPr>
          <w:p w14:paraId="402A1D1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18FE449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57CA6FE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CG2</w:t>
            </w:r>
          </w:p>
        </w:tc>
        <w:tc>
          <w:tcPr>
            <w:tcW w:w="5670" w:type="dxa"/>
          </w:tcPr>
          <w:p w14:paraId="0E4FC47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company’s strategic planning has a clear relationship with the organization's objectives</w:t>
            </w:r>
          </w:p>
        </w:tc>
        <w:tc>
          <w:tcPr>
            <w:tcW w:w="2076" w:type="dxa"/>
          </w:tcPr>
          <w:p w14:paraId="0E60D49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720D488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5E8864F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CG3</w:t>
            </w:r>
          </w:p>
        </w:tc>
        <w:tc>
          <w:tcPr>
            <w:tcW w:w="5670" w:type="dxa"/>
          </w:tcPr>
          <w:p w14:paraId="502EB9F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Senior management of my company seriously views corrective actions as an avenue for improvements</w:t>
            </w:r>
          </w:p>
        </w:tc>
        <w:tc>
          <w:tcPr>
            <w:tcW w:w="2076" w:type="dxa"/>
          </w:tcPr>
          <w:p w14:paraId="52C1E38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49E3C43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12267CC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CG4</w:t>
            </w:r>
          </w:p>
        </w:tc>
        <w:tc>
          <w:tcPr>
            <w:tcW w:w="5670" w:type="dxa"/>
          </w:tcPr>
          <w:p w14:paraId="530830F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In my company, there is a defined management structure supported by organisation charts for all roles.</w:t>
            </w:r>
          </w:p>
        </w:tc>
        <w:tc>
          <w:tcPr>
            <w:tcW w:w="2076" w:type="dxa"/>
          </w:tcPr>
          <w:p w14:paraId="75F0FAD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36F02D0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14787B0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CG5</w:t>
            </w:r>
          </w:p>
        </w:tc>
        <w:tc>
          <w:tcPr>
            <w:tcW w:w="5670" w:type="dxa"/>
          </w:tcPr>
          <w:p w14:paraId="0F32EAB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In my company, there is an effective mechanism for keeping staff informed on the key issues and decisions made at the board of directors' level.</w:t>
            </w:r>
          </w:p>
        </w:tc>
        <w:tc>
          <w:tcPr>
            <w:tcW w:w="2076" w:type="dxa"/>
          </w:tcPr>
          <w:p w14:paraId="24A3143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603EBAA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3D8C093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CG6</w:t>
            </w:r>
          </w:p>
        </w:tc>
        <w:tc>
          <w:tcPr>
            <w:tcW w:w="5670" w:type="dxa"/>
          </w:tcPr>
          <w:p w14:paraId="58C2FBE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company’s board of directors has set performance targets, which are updated annually.</w:t>
            </w:r>
          </w:p>
        </w:tc>
        <w:tc>
          <w:tcPr>
            <w:tcW w:w="2076" w:type="dxa"/>
          </w:tcPr>
          <w:p w14:paraId="79DCFFA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4EC6289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61C5124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CG7</w:t>
            </w:r>
          </w:p>
        </w:tc>
        <w:tc>
          <w:tcPr>
            <w:tcW w:w="5670" w:type="dxa"/>
          </w:tcPr>
          <w:p w14:paraId="6BEC5F2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company’s board of directors has defined Terms of Reference which are updated periodically.</w:t>
            </w:r>
          </w:p>
        </w:tc>
        <w:tc>
          <w:tcPr>
            <w:tcW w:w="2076" w:type="dxa"/>
          </w:tcPr>
          <w:p w14:paraId="5AB7C36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10AAEA9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777ED80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CG8</w:t>
            </w:r>
          </w:p>
        </w:tc>
        <w:tc>
          <w:tcPr>
            <w:tcW w:w="5670" w:type="dxa"/>
          </w:tcPr>
          <w:p w14:paraId="0A66B55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company’s board of directors ensures that strategic planning is in line with the organisation's objectives.</w:t>
            </w:r>
          </w:p>
        </w:tc>
        <w:tc>
          <w:tcPr>
            <w:tcW w:w="2076" w:type="dxa"/>
          </w:tcPr>
          <w:p w14:paraId="4D9D6F7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61AC3AE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7276C12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CG9</w:t>
            </w:r>
          </w:p>
        </w:tc>
        <w:tc>
          <w:tcPr>
            <w:tcW w:w="5670" w:type="dxa"/>
          </w:tcPr>
          <w:p w14:paraId="69FAC74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company’s strategic planning has a clear relationship with the organisation's objectives.</w:t>
            </w:r>
          </w:p>
        </w:tc>
        <w:tc>
          <w:tcPr>
            <w:tcW w:w="2076" w:type="dxa"/>
          </w:tcPr>
          <w:p w14:paraId="119DD13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229FF10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6E8558C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CG19</w:t>
            </w:r>
          </w:p>
        </w:tc>
        <w:tc>
          <w:tcPr>
            <w:tcW w:w="5670" w:type="dxa"/>
          </w:tcPr>
          <w:p w14:paraId="20BBA4A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code of conduct is present in my company.</w:t>
            </w:r>
          </w:p>
        </w:tc>
        <w:tc>
          <w:tcPr>
            <w:tcW w:w="2076" w:type="dxa"/>
          </w:tcPr>
          <w:p w14:paraId="7605DAB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3DA47CA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48A6236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CG11</w:t>
            </w:r>
          </w:p>
        </w:tc>
        <w:tc>
          <w:tcPr>
            <w:tcW w:w="5670" w:type="dxa"/>
          </w:tcPr>
          <w:p w14:paraId="5015D0C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code of conduct is emphasised in my company.</w:t>
            </w:r>
          </w:p>
        </w:tc>
        <w:tc>
          <w:tcPr>
            <w:tcW w:w="2076" w:type="dxa"/>
          </w:tcPr>
          <w:p w14:paraId="1CC305F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072314B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72CBAA3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CG12</w:t>
            </w:r>
          </w:p>
        </w:tc>
        <w:tc>
          <w:tcPr>
            <w:tcW w:w="5670" w:type="dxa"/>
          </w:tcPr>
          <w:p w14:paraId="1F26B27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Employees in my company are encouraged to report illegal or wasteful activities.</w:t>
            </w:r>
          </w:p>
        </w:tc>
        <w:tc>
          <w:tcPr>
            <w:tcW w:w="2076" w:type="dxa"/>
          </w:tcPr>
          <w:p w14:paraId="7D2601E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40FA4F1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bottom w:val="single" w:color="auto" w:sz="4" w:space="0"/>
            </w:tcBorders>
          </w:tcPr>
          <w:p w14:paraId="7E44BFF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CG13</w:t>
            </w:r>
          </w:p>
        </w:tc>
        <w:tc>
          <w:tcPr>
            <w:tcW w:w="5670" w:type="dxa"/>
            <w:tcBorders>
              <w:bottom w:val="single" w:color="auto" w:sz="4" w:space="0"/>
            </w:tcBorders>
          </w:tcPr>
          <w:p w14:paraId="68A634B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Senior management of my company seriously views corrective actions as an avenue for improvements.</w:t>
            </w:r>
          </w:p>
        </w:tc>
        <w:tc>
          <w:tcPr>
            <w:tcW w:w="2076" w:type="dxa"/>
            <w:tcBorders>
              <w:bottom w:val="single" w:color="auto" w:sz="4" w:space="0"/>
            </w:tcBorders>
          </w:tcPr>
          <w:p w14:paraId="04C3DA6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57CE852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top w:val="single" w:color="auto" w:sz="4" w:space="0"/>
              <w:bottom w:val="single" w:color="auto" w:sz="4" w:space="0"/>
            </w:tcBorders>
          </w:tcPr>
          <w:p w14:paraId="3B503DD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Test scale</w:t>
            </w:r>
          </w:p>
        </w:tc>
        <w:tc>
          <w:tcPr>
            <w:tcW w:w="5670" w:type="dxa"/>
            <w:tcBorders>
              <w:top w:val="single" w:color="auto" w:sz="4" w:space="0"/>
              <w:bottom w:val="single" w:color="auto" w:sz="4" w:space="0"/>
            </w:tcBorders>
          </w:tcPr>
          <w:p w14:paraId="7D71072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c>
          <w:tcPr>
            <w:tcW w:w="2076" w:type="dxa"/>
            <w:tcBorders>
              <w:top w:val="single" w:color="auto" w:sz="4" w:space="0"/>
              <w:bottom w:val="single" w:color="auto" w:sz="4" w:space="0"/>
            </w:tcBorders>
          </w:tcPr>
          <w:p w14:paraId="3329FF0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bl>
    <w:p w14:paraId="0DE0256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p w14:paraId="245DA4A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p w14:paraId="07215DB0">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 xml:space="preserve">Reliability test of risk management </w:t>
      </w:r>
    </w:p>
    <w:p w14:paraId="4613FEC3">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table below shows the outcomes of the Cronbach’s alpha for the items measuring risk management. The individual items’ lowest was 0.84 and the highest at 0.89. The alpha of the overall construct was 0.88. This indicates an internal consistency for measuring risk management in this study (Ravinder &amp; Saraswathi, 2020).</w:t>
      </w:r>
    </w:p>
    <w:p w14:paraId="370AE70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Table 3: Reliability test of risk management</w:t>
      </w:r>
    </w:p>
    <w:tbl>
      <w:tblPr>
        <w:tblStyle w:val="12"/>
        <w:tblW w:w="0" w:type="auto"/>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1271"/>
        <w:gridCol w:w="6379"/>
        <w:gridCol w:w="1367"/>
      </w:tblGrid>
      <w:tr w14:paraId="3DB09A0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top w:val="single" w:color="auto" w:sz="4" w:space="0"/>
              <w:bottom w:val="single" w:color="auto" w:sz="4" w:space="0"/>
            </w:tcBorders>
          </w:tcPr>
          <w:p w14:paraId="5C53848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6379" w:type="dxa"/>
            <w:tcBorders>
              <w:top w:val="single" w:color="auto" w:sz="4" w:space="0"/>
              <w:bottom w:val="single" w:color="auto" w:sz="4" w:space="0"/>
            </w:tcBorders>
          </w:tcPr>
          <w:p w14:paraId="160876A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w:t>
            </w:r>
          </w:p>
        </w:tc>
        <w:tc>
          <w:tcPr>
            <w:tcW w:w="1367" w:type="dxa"/>
            <w:tcBorders>
              <w:top w:val="single" w:color="auto" w:sz="4" w:space="0"/>
              <w:bottom w:val="single" w:color="auto" w:sz="4" w:space="0"/>
            </w:tcBorders>
          </w:tcPr>
          <w:p w14:paraId="7631E05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Cronbach alpha</w:t>
            </w:r>
          </w:p>
        </w:tc>
      </w:tr>
      <w:tr w14:paraId="08A7D90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top w:val="single" w:color="auto" w:sz="4" w:space="0"/>
            </w:tcBorders>
          </w:tcPr>
          <w:p w14:paraId="788988D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RM1</w:t>
            </w:r>
          </w:p>
        </w:tc>
        <w:tc>
          <w:tcPr>
            <w:tcW w:w="6379" w:type="dxa"/>
            <w:tcBorders>
              <w:top w:val="single" w:color="auto" w:sz="4" w:space="0"/>
            </w:tcBorders>
          </w:tcPr>
          <w:p w14:paraId="2C60FE7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organisation establishes the context before assessing risks.</w:t>
            </w:r>
          </w:p>
        </w:tc>
        <w:tc>
          <w:tcPr>
            <w:tcW w:w="1367" w:type="dxa"/>
            <w:tcBorders>
              <w:top w:val="single" w:color="auto" w:sz="4" w:space="0"/>
            </w:tcBorders>
          </w:tcPr>
          <w:p w14:paraId="6848E27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0.89</w:t>
            </w:r>
          </w:p>
        </w:tc>
      </w:tr>
      <w:tr w14:paraId="436A210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3E1C8DC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RM2</w:t>
            </w:r>
          </w:p>
        </w:tc>
        <w:tc>
          <w:tcPr>
            <w:tcW w:w="6379" w:type="dxa"/>
          </w:tcPr>
          <w:p w14:paraId="1B4E93B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Risk identification processes are well defined.</w:t>
            </w:r>
          </w:p>
        </w:tc>
        <w:tc>
          <w:tcPr>
            <w:tcW w:w="1367" w:type="dxa"/>
          </w:tcPr>
          <w:p w14:paraId="33E429E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0.84</w:t>
            </w:r>
          </w:p>
        </w:tc>
      </w:tr>
      <w:tr w14:paraId="05D2876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7D6FDF3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RM3</w:t>
            </w:r>
          </w:p>
        </w:tc>
        <w:tc>
          <w:tcPr>
            <w:tcW w:w="6379" w:type="dxa"/>
          </w:tcPr>
          <w:p w14:paraId="5967CA0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Risk analysis is conducted using structured methods.</w:t>
            </w:r>
          </w:p>
        </w:tc>
        <w:tc>
          <w:tcPr>
            <w:tcW w:w="1367" w:type="dxa"/>
          </w:tcPr>
          <w:p w14:paraId="6B5B1E9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0.85</w:t>
            </w:r>
          </w:p>
        </w:tc>
      </w:tr>
      <w:tr w14:paraId="588EC5A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305BD15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RM4</w:t>
            </w:r>
          </w:p>
        </w:tc>
        <w:tc>
          <w:tcPr>
            <w:tcW w:w="6379" w:type="dxa"/>
          </w:tcPr>
          <w:p w14:paraId="32FC561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Risk evaluation supports decision-making.</w:t>
            </w:r>
          </w:p>
        </w:tc>
        <w:tc>
          <w:tcPr>
            <w:tcW w:w="1367" w:type="dxa"/>
          </w:tcPr>
          <w:p w14:paraId="01373F8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0.84</w:t>
            </w:r>
          </w:p>
        </w:tc>
      </w:tr>
      <w:tr w14:paraId="0EC2426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Pr>
          <w:p w14:paraId="54C9374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RM5</w:t>
            </w:r>
          </w:p>
        </w:tc>
        <w:tc>
          <w:tcPr>
            <w:tcW w:w="6379" w:type="dxa"/>
          </w:tcPr>
          <w:p w14:paraId="0BC4A97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Risk treatment plans are implemented effectively.</w:t>
            </w:r>
          </w:p>
        </w:tc>
        <w:tc>
          <w:tcPr>
            <w:tcW w:w="1367" w:type="dxa"/>
          </w:tcPr>
          <w:p w14:paraId="27D86BA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0.86</w:t>
            </w:r>
          </w:p>
        </w:tc>
      </w:tr>
      <w:tr w14:paraId="489B4B7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bottom w:val="single" w:color="auto" w:sz="4" w:space="0"/>
            </w:tcBorders>
          </w:tcPr>
          <w:p w14:paraId="6A6CE36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RM6</w:t>
            </w:r>
          </w:p>
        </w:tc>
        <w:tc>
          <w:tcPr>
            <w:tcW w:w="6379" w:type="dxa"/>
            <w:tcBorders>
              <w:bottom w:val="single" w:color="auto" w:sz="4" w:space="0"/>
            </w:tcBorders>
          </w:tcPr>
          <w:p w14:paraId="7791AE1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Risk management is reviewed and improved regularly.</w:t>
            </w:r>
          </w:p>
        </w:tc>
        <w:tc>
          <w:tcPr>
            <w:tcW w:w="1367" w:type="dxa"/>
            <w:tcBorders>
              <w:bottom w:val="single" w:color="auto" w:sz="4" w:space="0"/>
            </w:tcBorders>
          </w:tcPr>
          <w:p w14:paraId="42AA22E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0.85</w:t>
            </w:r>
          </w:p>
        </w:tc>
      </w:tr>
      <w:tr w14:paraId="7CAD6AB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271" w:type="dxa"/>
            <w:tcBorders>
              <w:top w:val="single" w:color="auto" w:sz="4" w:space="0"/>
              <w:bottom w:val="single" w:color="auto" w:sz="4" w:space="0"/>
            </w:tcBorders>
          </w:tcPr>
          <w:p w14:paraId="653FD23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Test scale </w:t>
            </w:r>
          </w:p>
        </w:tc>
        <w:tc>
          <w:tcPr>
            <w:tcW w:w="6379" w:type="dxa"/>
            <w:tcBorders>
              <w:top w:val="single" w:color="auto" w:sz="4" w:space="0"/>
              <w:bottom w:val="single" w:color="auto" w:sz="4" w:space="0"/>
            </w:tcBorders>
          </w:tcPr>
          <w:p w14:paraId="11638AA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lang w:val="en-US"/>
                <w14:ligatures w14:val="none"/>
              </w:rPr>
            </w:pPr>
          </w:p>
        </w:tc>
        <w:tc>
          <w:tcPr>
            <w:tcW w:w="1367" w:type="dxa"/>
            <w:tcBorders>
              <w:top w:val="single" w:color="auto" w:sz="4" w:space="0"/>
              <w:bottom w:val="single" w:color="auto" w:sz="4" w:space="0"/>
            </w:tcBorders>
          </w:tcPr>
          <w:p w14:paraId="326B8C4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0.88</w:t>
            </w:r>
          </w:p>
        </w:tc>
      </w:tr>
    </w:tbl>
    <w:p w14:paraId="0E2CE07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p>
    <w:p w14:paraId="3FC03D7E">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p>
    <w:bookmarkEnd w:id="80"/>
    <w:bookmarkEnd w:id="81"/>
    <w:p w14:paraId="2C81885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bookmarkStart w:id="82" w:name="_Toc112693652"/>
      <w:bookmarkStart w:id="83" w:name="_Toc110000576"/>
      <w:r>
        <w:rPr>
          <w:rFonts w:ascii="Times New Roman" w:hAnsi="Times New Roman" w:eastAsia="Times New Roman" w:cs="Times New Roman"/>
          <w:color w:val="auto"/>
          <w:kern w:val="0"/>
          <w:sz w:val="24"/>
          <w:szCs w:val="24"/>
          <w:lang w:val="en-US"/>
          <w14:ligatures w14:val="none"/>
        </w:rPr>
        <w:t xml:space="preserve">Reliability test of fraud prevention </w:t>
      </w:r>
    </w:p>
    <w:p w14:paraId="026B2B6F">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table below shows the outcomes of the Cronbach’s alpha for the items measuring fraud prevention. The individual items’ value ranged from 0.58 to 0.74. The alpha of the overall alpha for the construct was 0.66, which is below the 0.70 threshold. This indicates weak internal consistency for measuring fraud prevention in this study (Ravinder &amp; Saraswathi, 2020).</w:t>
      </w:r>
    </w:p>
    <w:p w14:paraId="452C3F9E">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Table 4: Reliability test of fraud prevention </w:t>
      </w:r>
    </w:p>
    <w:tbl>
      <w:tblPr>
        <w:tblStyle w:val="12"/>
        <w:tblW w:w="0" w:type="auto"/>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1300"/>
        <w:gridCol w:w="5245"/>
        <w:gridCol w:w="1792"/>
      </w:tblGrid>
      <w:tr w14:paraId="029874A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Borders>
              <w:top w:val="single" w:color="auto" w:sz="4" w:space="0"/>
              <w:bottom w:val="single" w:color="auto" w:sz="4" w:space="0"/>
            </w:tcBorders>
          </w:tcPr>
          <w:p w14:paraId="104EE1B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5245" w:type="dxa"/>
            <w:tcBorders>
              <w:top w:val="single" w:color="auto" w:sz="4" w:space="0"/>
              <w:bottom w:val="single" w:color="auto" w:sz="4" w:space="0"/>
            </w:tcBorders>
          </w:tcPr>
          <w:p w14:paraId="6179CDF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w:t>
            </w:r>
          </w:p>
        </w:tc>
        <w:tc>
          <w:tcPr>
            <w:tcW w:w="1792" w:type="dxa"/>
            <w:tcBorders>
              <w:top w:val="single" w:color="auto" w:sz="4" w:space="0"/>
              <w:bottom w:val="single" w:color="auto" w:sz="4" w:space="0"/>
            </w:tcBorders>
          </w:tcPr>
          <w:p w14:paraId="13BE9C4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Cronbach alpha </w:t>
            </w:r>
          </w:p>
        </w:tc>
      </w:tr>
      <w:tr w14:paraId="2F03FA7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Borders>
              <w:top w:val="single" w:color="auto" w:sz="4" w:space="0"/>
            </w:tcBorders>
          </w:tcPr>
          <w:p w14:paraId="67A555D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w:t>
            </w:r>
          </w:p>
        </w:tc>
        <w:tc>
          <w:tcPr>
            <w:tcW w:w="5245" w:type="dxa"/>
            <w:tcBorders>
              <w:top w:val="single" w:color="auto" w:sz="4" w:space="0"/>
            </w:tcBorders>
          </w:tcPr>
          <w:p w14:paraId="12FC596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is proactive in dealing with the risk of fraud.</w:t>
            </w:r>
          </w:p>
        </w:tc>
        <w:tc>
          <w:tcPr>
            <w:tcW w:w="1792" w:type="dxa"/>
            <w:tcBorders>
              <w:top w:val="single" w:color="auto" w:sz="4" w:space="0"/>
            </w:tcBorders>
          </w:tcPr>
          <w:p w14:paraId="581B22B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0.64</w:t>
            </w:r>
          </w:p>
        </w:tc>
      </w:tr>
      <w:tr w14:paraId="2BC55DA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4FB9507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FP2</w:t>
            </w:r>
          </w:p>
        </w:tc>
        <w:tc>
          <w:tcPr>
            <w:tcW w:w="5245" w:type="dxa"/>
          </w:tcPr>
          <w:p w14:paraId="7FB485B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has updated internal control systems to prevent fraud.</w:t>
            </w:r>
          </w:p>
        </w:tc>
        <w:tc>
          <w:tcPr>
            <w:tcW w:w="1792" w:type="dxa"/>
          </w:tcPr>
          <w:p w14:paraId="51BA940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0.64</w:t>
            </w:r>
          </w:p>
        </w:tc>
      </w:tr>
      <w:tr w14:paraId="636B6EF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67A36A7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FP3</w:t>
            </w:r>
          </w:p>
        </w:tc>
        <w:tc>
          <w:tcPr>
            <w:tcW w:w="5245" w:type="dxa"/>
          </w:tcPr>
          <w:p w14:paraId="77A593A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has updated accounting control systems to prevent fraud.</w:t>
            </w:r>
          </w:p>
        </w:tc>
        <w:tc>
          <w:tcPr>
            <w:tcW w:w="1792" w:type="dxa"/>
          </w:tcPr>
          <w:p w14:paraId="0F3A1A0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0.65</w:t>
            </w:r>
          </w:p>
        </w:tc>
      </w:tr>
      <w:tr w14:paraId="315ED52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4E873BD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FP4</w:t>
            </w:r>
          </w:p>
        </w:tc>
        <w:tc>
          <w:tcPr>
            <w:tcW w:w="5245" w:type="dxa"/>
          </w:tcPr>
          <w:p w14:paraId="727AE38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company’s external auditors should utilise forensic accounting in their attempt to uncover fraud.</w:t>
            </w:r>
          </w:p>
        </w:tc>
        <w:tc>
          <w:tcPr>
            <w:tcW w:w="1792" w:type="dxa"/>
          </w:tcPr>
          <w:p w14:paraId="1B6CAD9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0.64</w:t>
            </w:r>
          </w:p>
        </w:tc>
      </w:tr>
      <w:tr w14:paraId="426015A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4A0D708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FP5</w:t>
            </w:r>
          </w:p>
        </w:tc>
        <w:tc>
          <w:tcPr>
            <w:tcW w:w="5245" w:type="dxa"/>
          </w:tcPr>
          <w:p w14:paraId="5AED912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could be threatened by fraud due to poor fraud management.</w:t>
            </w:r>
          </w:p>
        </w:tc>
        <w:tc>
          <w:tcPr>
            <w:tcW w:w="1792" w:type="dxa"/>
          </w:tcPr>
          <w:p w14:paraId="48E5778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0.59</w:t>
            </w:r>
          </w:p>
        </w:tc>
      </w:tr>
      <w:tr w14:paraId="4DE3376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01B2EDF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FP6</w:t>
            </w:r>
          </w:p>
        </w:tc>
        <w:tc>
          <w:tcPr>
            <w:tcW w:w="5245" w:type="dxa"/>
          </w:tcPr>
          <w:p w14:paraId="5D61840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could be threatened by fraud due to poor fraud assessment.</w:t>
            </w:r>
          </w:p>
        </w:tc>
        <w:tc>
          <w:tcPr>
            <w:tcW w:w="1792" w:type="dxa"/>
          </w:tcPr>
          <w:p w14:paraId="0B582D8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0.58</w:t>
            </w:r>
          </w:p>
        </w:tc>
      </w:tr>
      <w:tr w14:paraId="32D8727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0A97034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FP7</w:t>
            </w:r>
          </w:p>
        </w:tc>
        <w:tc>
          <w:tcPr>
            <w:tcW w:w="5245" w:type="dxa"/>
          </w:tcPr>
          <w:p w14:paraId="5F8495E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could be threatened by fraud due to poor internal controls.</w:t>
            </w:r>
          </w:p>
        </w:tc>
        <w:tc>
          <w:tcPr>
            <w:tcW w:w="1792" w:type="dxa"/>
          </w:tcPr>
          <w:p w14:paraId="6D1D29F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0.58</w:t>
            </w:r>
          </w:p>
        </w:tc>
      </w:tr>
      <w:tr w14:paraId="3260C37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1FE7C80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FP8</w:t>
            </w:r>
          </w:p>
        </w:tc>
        <w:tc>
          <w:tcPr>
            <w:tcW w:w="5245" w:type="dxa"/>
          </w:tcPr>
          <w:p w14:paraId="15BB4DD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could be threatened by fraud due to lack of ethical value.</w:t>
            </w:r>
          </w:p>
        </w:tc>
        <w:tc>
          <w:tcPr>
            <w:tcW w:w="1792" w:type="dxa"/>
          </w:tcPr>
          <w:p w14:paraId="08F3665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0.58</w:t>
            </w:r>
          </w:p>
        </w:tc>
      </w:tr>
      <w:tr w14:paraId="264D016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2B59F71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FP9</w:t>
            </w:r>
          </w:p>
        </w:tc>
        <w:tc>
          <w:tcPr>
            <w:tcW w:w="5245" w:type="dxa"/>
          </w:tcPr>
          <w:p w14:paraId="51DE637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could be threatened by fraud due to inadequate background checks on prospective employees.</w:t>
            </w:r>
          </w:p>
        </w:tc>
        <w:tc>
          <w:tcPr>
            <w:tcW w:w="1792" w:type="dxa"/>
          </w:tcPr>
          <w:p w14:paraId="6A2F4CB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0.58</w:t>
            </w:r>
          </w:p>
        </w:tc>
      </w:tr>
      <w:tr w14:paraId="324303E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620EE75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FP10</w:t>
            </w:r>
          </w:p>
        </w:tc>
        <w:tc>
          <w:tcPr>
            <w:tcW w:w="5245" w:type="dxa"/>
          </w:tcPr>
          <w:p w14:paraId="1564938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could be threatened by fraud due to inadequate background checks on prospective vendors.</w:t>
            </w:r>
          </w:p>
        </w:tc>
        <w:tc>
          <w:tcPr>
            <w:tcW w:w="1792" w:type="dxa"/>
          </w:tcPr>
          <w:p w14:paraId="76289DC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0.59</w:t>
            </w:r>
          </w:p>
        </w:tc>
      </w:tr>
      <w:tr w14:paraId="5FCE797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437A6C2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FP11</w:t>
            </w:r>
          </w:p>
        </w:tc>
        <w:tc>
          <w:tcPr>
            <w:tcW w:w="5245" w:type="dxa"/>
          </w:tcPr>
          <w:p w14:paraId="6E23283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My company could be threatened by fraud due to management override of the controls.</w:t>
            </w:r>
          </w:p>
        </w:tc>
        <w:tc>
          <w:tcPr>
            <w:tcW w:w="1792" w:type="dxa"/>
          </w:tcPr>
          <w:p w14:paraId="0FD9AA0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0.58</w:t>
            </w:r>
          </w:p>
        </w:tc>
      </w:tr>
      <w:tr w14:paraId="5F8BE11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728F6F8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FP12</w:t>
            </w:r>
          </w:p>
        </w:tc>
        <w:tc>
          <w:tcPr>
            <w:tcW w:w="5245" w:type="dxa"/>
          </w:tcPr>
          <w:p w14:paraId="62198AA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Corporate crime mitigation in my company can be achieved by strengthening corporate governance through forensic accounting's preventive role.</w:t>
            </w:r>
          </w:p>
        </w:tc>
        <w:tc>
          <w:tcPr>
            <w:tcW w:w="1792" w:type="dxa"/>
          </w:tcPr>
          <w:p w14:paraId="779723F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0.69</w:t>
            </w:r>
          </w:p>
        </w:tc>
      </w:tr>
      <w:tr w14:paraId="5A041FF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4BDC158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FP13</w:t>
            </w:r>
          </w:p>
        </w:tc>
        <w:tc>
          <w:tcPr>
            <w:tcW w:w="5245" w:type="dxa"/>
          </w:tcPr>
          <w:p w14:paraId="0D62DEA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inability of statutory auditing to identify, expose, and prevent weaknesses in corporate governance has made the need for forensic accounting in my company inevitable.</w:t>
            </w:r>
          </w:p>
        </w:tc>
        <w:tc>
          <w:tcPr>
            <w:tcW w:w="1792" w:type="dxa"/>
          </w:tcPr>
          <w:p w14:paraId="3ED85B2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0.74</w:t>
            </w:r>
          </w:p>
        </w:tc>
      </w:tr>
      <w:tr w14:paraId="3FA310A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Pr>
          <w:p w14:paraId="6F2C56A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FP14</w:t>
            </w:r>
          </w:p>
        </w:tc>
        <w:tc>
          <w:tcPr>
            <w:tcW w:w="5245" w:type="dxa"/>
          </w:tcPr>
          <w:p w14:paraId="130E478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inability of statutory auditing to identify, expose, and prevent weaknesses in flawed internal controls has made the need for forensic accounting in my company inevitable.</w:t>
            </w:r>
          </w:p>
        </w:tc>
        <w:tc>
          <w:tcPr>
            <w:tcW w:w="1792" w:type="dxa"/>
          </w:tcPr>
          <w:p w14:paraId="24A2FE4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0.73</w:t>
            </w:r>
          </w:p>
        </w:tc>
      </w:tr>
      <w:tr w14:paraId="7C145E8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Borders>
              <w:bottom w:val="single" w:color="auto" w:sz="4" w:space="0"/>
            </w:tcBorders>
          </w:tcPr>
          <w:p w14:paraId="6C652A0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FP15</w:t>
            </w:r>
          </w:p>
        </w:tc>
        <w:tc>
          <w:tcPr>
            <w:tcW w:w="5245" w:type="dxa"/>
            <w:tcBorders>
              <w:bottom w:val="single" w:color="auto" w:sz="4" w:space="0"/>
            </w:tcBorders>
          </w:tcPr>
          <w:p w14:paraId="3618399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inability of statutory auditing to identify, expose, and prevent weaknesses in fraudulent financial statements has made the need for forensic accounting in my company inevitable.</w:t>
            </w:r>
          </w:p>
        </w:tc>
        <w:tc>
          <w:tcPr>
            <w:tcW w:w="1792" w:type="dxa"/>
            <w:tcBorders>
              <w:bottom w:val="single" w:color="auto" w:sz="4" w:space="0"/>
            </w:tcBorders>
          </w:tcPr>
          <w:p w14:paraId="3528218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0.73</w:t>
            </w:r>
          </w:p>
        </w:tc>
      </w:tr>
      <w:tr w14:paraId="5F3F74D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300" w:type="dxa"/>
            <w:tcBorders>
              <w:top w:val="single" w:color="auto" w:sz="4" w:space="0"/>
              <w:bottom w:val="single" w:color="auto" w:sz="4" w:space="0"/>
            </w:tcBorders>
          </w:tcPr>
          <w:p w14:paraId="446BDF7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Test scale </w:t>
            </w:r>
          </w:p>
        </w:tc>
        <w:tc>
          <w:tcPr>
            <w:tcW w:w="5245" w:type="dxa"/>
            <w:tcBorders>
              <w:top w:val="single" w:color="auto" w:sz="4" w:space="0"/>
              <w:bottom w:val="single" w:color="auto" w:sz="4" w:space="0"/>
            </w:tcBorders>
          </w:tcPr>
          <w:p w14:paraId="56D7CEB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p>
        </w:tc>
        <w:tc>
          <w:tcPr>
            <w:tcW w:w="1792" w:type="dxa"/>
            <w:tcBorders>
              <w:top w:val="single" w:color="auto" w:sz="4" w:space="0"/>
              <w:bottom w:val="single" w:color="auto" w:sz="4" w:space="0"/>
            </w:tcBorders>
          </w:tcPr>
          <w:p w14:paraId="7E6D92F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0.66</w:t>
            </w:r>
          </w:p>
        </w:tc>
      </w:tr>
      <w:bookmarkEnd w:id="82"/>
    </w:tbl>
    <w:p w14:paraId="2E598B54">
      <w:pPr>
        <w:widowControl/>
        <w:suppressAutoHyphens/>
        <w:bidi w:val="0"/>
        <w:spacing w:before="120" w:after="120" w:line="480" w:lineRule="auto"/>
        <w:ind w:left="0" w:firstLine="0"/>
        <w:jc w:val="both"/>
        <w:rPr>
          <w:rFonts w:ascii="Times New Roman" w:hAnsi="Times New Roman" w:eastAsia="黑体" w:cs="Times New Roman"/>
          <w:b/>
          <w:color w:val="auto"/>
          <w:kern w:val="0"/>
          <w:sz w:val="24"/>
          <w:szCs w:val="24"/>
          <w:lang w:val="en-US"/>
          <w14:ligatures w14:val="none"/>
        </w:rPr>
      </w:pPr>
    </w:p>
    <w:p w14:paraId="5060E35D">
      <w:pPr>
        <w:widowControl/>
        <w:suppressAutoHyphens/>
        <w:bidi w:val="0"/>
        <w:spacing w:before="0" w:beforeAutospacing="0" w:after="0" w:afterAutospacing="0" w:line="480" w:lineRule="auto"/>
        <w:ind w:left="0" w:firstLine="0"/>
        <w:jc w:val="both"/>
        <w:rPr>
          <w:rFonts w:ascii="Times New Roman" w:hAnsi="Times New Roman" w:eastAsia="黑体" w:cs="Times New Roman"/>
          <w:bCs/>
          <w:color w:val="auto"/>
          <w:kern w:val="0"/>
          <w:sz w:val="24"/>
          <w:szCs w:val="24"/>
          <w:lang w:val="en-US"/>
          <w14:ligatures w14:val="none"/>
        </w:rPr>
      </w:pPr>
      <w:r>
        <w:rPr>
          <w:rFonts w:ascii="Times New Roman" w:hAnsi="Times New Roman" w:eastAsia="黑体" w:cs="Times New Roman"/>
          <w:bCs/>
          <w:color w:val="auto"/>
          <w:kern w:val="0"/>
          <w:sz w:val="24"/>
          <w:szCs w:val="24"/>
          <w:lang w:val="en-US"/>
          <w14:ligatures w14:val="none"/>
        </w:rPr>
        <w:t>Reliability test of organisational effectiveness</w:t>
      </w:r>
    </w:p>
    <w:p w14:paraId="528E8BCD">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table below shows the outcomes of the Cronbach’s alpha for the items measuring organizational effectiveness. The individual items’ value remained consistently close to 0.96. The overall alpha for the construct was 0.96. Which is above the 0.70 threshold. This indicates strong internal consistency for measuring organisational effectiveness in this study (Ravinder &amp; Saraswathi, 2020).</w:t>
      </w:r>
    </w:p>
    <w:p w14:paraId="0242CB4F">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Table 5: Reliability test of organisational effectiveness </w:t>
      </w:r>
    </w:p>
    <w:tbl>
      <w:tblPr>
        <w:tblStyle w:val="12"/>
        <w:tblW w:w="0" w:type="auto"/>
        <w:tblInd w:w="0" w:type="dxa"/>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1416"/>
        <w:gridCol w:w="5554"/>
        <w:gridCol w:w="1367"/>
      </w:tblGrid>
      <w:tr w14:paraId="2088D993">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Borders>
              <w:top w:val="single" w:color="auto" w:sz="4" w:space="0"/>
              <w:bottom w:val="single" w:color="auto" w:sz="4" w:space="0"/>
            </w:tcBorders>
          </w:tcPr>
          <w:p w14:paraId="01E6633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5554" w:type="dxa"/>
            <w:tcBorders>
              <w:top w:val="single" w:color="auto" w:sz="4" w:space="0"/>
              <w:bottom w:val="single" w:color="auto" w:sz="4" w:space="0"/>
            </w:tcBorders>
          </w:tcPr>
          <w:p w14:paraId="18B2B3D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Item</w:t>
            </w:r>
          </w:p>
        </w:tc>
        <w:tc>
          <w:tcPr>
            <w:tcW w:w="1367" w:type="dxa"/>
            <w:tcBorders>
              <w:top w:val="single" w:color="auto" w:sz="4" w:space="0"/>
              <w:bottom w:val="single" w:color="auto" w:sz="4" w:space="0"/>
            </w:tcBorders>
          </w:tcPr>
          <w:p w14:paraId="01DE758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Cronbach alpha </w:t>
            </w:r>
          </w:p>
        </w:tc>
      </w:tr>
      <w:tr w14:paraId="536D4F50">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Borders>
              <w:top w:val="single" w:color="auto" w:sz="4" w:space="0"/>
            </w:tcBorders>
          </w:tcPr>
          <w:p w14:paraId="02EB86F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w:t>
            </w:r>
          </w:p>
        </w:tc>
        <w:tc>
          <w:tcPr>
            <w:tcW w:w="5554" w:type="dxa"/>
            <w:tcBorders>
              <w:top w:val="single" w:color="auto" w:sz="4" w:space="0"/>
            </w:tcBorders>
          </w:tcPr>
          <w:p w14:paraId="3CA3BEF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Desired level of output is always attained.</w:t>
            </w:r>
          </w:p>
        </w:tc>
        <w:tc>
          <w:tcPr>
            <w:tcW w:w="1367" w:type="dxa"/>
            <w:tcBorders>
              <w:top w:val="single" w:color="auto" w:sz="4" w:space="0"/>
            </w:tcBorders>
          </w:tcPr>
          <w:p w14:paraId="410EDED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4EA8DFD0">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283522E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OE2</w:t>
            </w:r>
          </w:p>
        </w:tc>
        <w:tc>
          <w:tcPr>
            <w:tcW w:w="5554" w:type="dxa"/>
          </w:tcPr>
          <w:p w14:paraId="4655159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set quantity of products or services is achieved at all times.</w:t>
            </w:r>
          </w:p>
        </w:tc>
        <w:tc>
          <w:tcPr>
            <w:tcW w:w="1367" w:type="dxa"/>
          </w:tcPr>
          <w:p w14:paraId="0D29431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361A1425">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590CD08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OE3</w:t>
            </w:r>
          </w:p>
        </w:tc>
        <w:tc>
          <w:tcPr>
            <w:tcW w:w="5554" w:type="dxa"/>
          </w:tcPr>
          <w:p w14:paraId="4A1E88D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set quantity of products or services is frequently attained.</w:t>
            </w:r>
          </w:p>
        </w:tc>
        <w:tc>
          <w:tcPr>
            <w:tcW w:w="1367" w:type="dxa"/>
          </w:tcPr>
          <w:p w14:paraId="1B7C7B5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1DE68C1F">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0851236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OE4</w:t>
            </w:r>
          </w:p>
        </w:tc>
        <w:tc>
          <w:tcPr>
            <w:tcW w:w="5554" w:type="dxa"/>
          </w:tcPr>
          <w:p w14:paraId="4345FCA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desired input-output ratio is attained at all times.</w:t>
            </w:r>
          </w:p>
        </w:tc>
        <w:tc>
          <w:tcPr>
            <w:tcW w:w="1367" w:type="dxa"/>
          </w:tcPr>
          <w:p w14:paraId="2CB5FF4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1B612AE9">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1825C35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OE5</w:t>
            </w:r>
          </w:p>
        </w:tc>
        <w:tc>
          <w:tcPr>
            <w:tcW w:w="5554" w:type="dxa"/>
          </w:tcPr>
          <w:p w14:paraId="60102DD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Production or service processes are regularly carried out efficiently.</w:t>
            </w:r>
          </w:p>
        </w:tc>
        <w:tc>
          <w:tcPr>
            <w:tcW w:w="1367" w:type="dxa"/>
          </w:tcPr>
          <w:p w14:paraId="0A0C5B4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0095B455">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2B88AF9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OE6</w:t>
            </w:r>
          </w:p>
        </w:tc>
        <w:tc>
          <w:tcPr>
            <w:tcW w:w="5554" w:type="dxa"/>
          </w:tcPr>
          <w:p w14:paraId="3732333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Net profit is regularly recorded.</w:t>
            </w:r>
          </w:p>
        </w:tc>
        <w:tc>
          <w:tcPr>
            <w:tcW w:w="1367" w:type="dxa"/>
          </w:tcPr>
          <w:p w14:paraId="1AE8035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2A722605">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1CA5F6C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OE7</w:t>
            </w:r>
          </w:p>
        </w:tc>
        <w:tc>
          <w:tcPr>
            <w:tcW w:w="5554" w:type="dxa"/>
          </w:tcPr>
          <w:p w14:paraId="30EF480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Departmental or sectional output goals are often achieved.</w:t>
            </w:r>
          </w:p>
        </w:tc>
        <w:tc>
          <w:tcPr>
            <w:tcW w:w="1367" w:type="dxa"/>
          </w:tcPr>
          <w:p w14:paraId="78DA38A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7EEA4B9C">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1AEDB93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OE8</w:t>
            </w:r>
          </w:p>
        </w:tc>
        <w:tc>
          <w:tcPr>
            <w:tcW w:w="5554" w:type="dxa"/>
          </w:tcPr>
          <w:p w14:paraId="2CD5C64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Desired market share is often attained.</w:t>
            </w:r>
          </w:p>
        </w:tc>
        <w:tc>
          <w:tcPr>
            <w:tcW w:w="1367" w:type="dxa"/>
          </w:tcPr>
          <w:p w14:paraId="1AC55EE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69A5E284">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07427C0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OE9</w:t>
            </w:r>
          </w:p>
        </w:tc>
        <w:tc>
          <w:tcPr>
            <w:tcW w:w="5554" w:type="dxa"/>
          </w:tcPr>
          <w:p w14:paraId="01F0ECA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Output per unit input is always as desired.</w:t>
            </w:r>
          </w:p>
        </w:tc>
        <w:tc>
          <w:tcPr>
            <w:tcW w:w="1367" w:type="dxa"/>
          </w:tcPr>
          <w:p w14:paraId="42DECB9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13CF7B7A">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611860C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OE10</w:t>
            </w:r>
          </w:p>
        </w:tc>
        <w:tc>
          <w:tcPr>
            <w:tcW w:w="5554" w:type="dxa"/>
          </w:tcPr>
          <w:p w14:paraId="58B07AC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Standards of regulatory agencies are regularly attained.</w:t>
            </w:r>
          </w:p>
        </w:tc>
        <w:tc>
          <w:tcPr>
            <w:tcW w:w="1367" w:type="dxa"/>
          </w:tcPr>
          <w:p w14:paraId="059FD9C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15E4244F">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27BE11A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OE11</w:t>
            </w:r>
          </w:p>
        </w:tc>
        <w:tc>
          <w:tcPr>
            <w:tcW w:w="5554" w:type="dxa"/>
          </w:tcPr>
          <w:p w14:paraId="4BFF0C7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Outputs or services are produced within the shortest possible time.</w:t>
            </w:r>
          </w:p>
        </w:tc>
        <w:tc>
          <w:tcPr>
            <w:tcW w:w="1367" w:type="dxa"/>
          </w:tcPr>
          <w:p w14:paraId="147C90E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04662BE0">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3822280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OE12</w:t>
            </w:r>
          </w:p>
        </w:tc>
        <w:tc>
          <w:tcPr>
            <w:tcW w:w="5554" w:type="dxa"/>
          </w:tcPr>
          <w:p w14:paraId="19B2669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Earnings per share is comparatively satisfactory.</w:t>
            </w:r>
          </w:p>
        </w:tc>
        <w:tc>
          <w:tcPr>
            <w:tcW w:w="1367" w:type="dxa"/>
          </w:tcPr>
          <w:p w14:paraId="12F5C9D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0AED3B0B">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6D558A4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OE13</w:t>
            </w:r>
          </w:p>
        </w:tc>
        <w:tc>
          <w:tcPr>
            <w:tcW w:w="5554" w:type="dxa"/>
          </w:tcPr>
          <w:p w14:paraId="0B51E30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Things are always done at the right time.</w:t>
            </w:r>
          </w:p>
        </w:tc>
        <w:tc>
          <w:tcPr>
            <w:tcW w:w="1367" w:type="dxa"/>
          </w:tcPr>
          <w:p w14:paraId="364AC03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35078B09">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47375A2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OE14</w:t>
            </w:r>
          </w:p>
        </w:tc>
        <w:tc>
          <w:tcPr>
            <w:tcW w:w="5554" w:type="dxa"/>
          </w:tcPr>
          <w:p w14:paraId="461A91D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Products or services are made in response to the demand of the environment.</w:t>
            </w:r>
          </w:p>
        </w:tc>
        <w:tc>
          <w:tcPr>
            <w:tcW w:w="1367" w:type="dxa"/>
          </w:tcPr>
          <w:p w14:paraId="3A83495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6E9A6A66">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099A03D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OE15</w:t>
            </w:r>
          </w:p>
        </w:tc>
        <w:tc>
          <w:tcPr>
            <w:tcW w:w="5554" w:type="dxa"/>
          </w:tcPr>
          <w:p w14:paraId="239AB66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Desired productivity level is always achieved.</w:t>
            </w:r>
          </w:p>
        </w:tc>
        <w:tc>
          <w:tcPr>
            <w:tcW w:w="1367" w:type="dxa"/>
          </w:tcPr>
          <w:p w14:paraId="4521121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3280CEAF">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Pr>
          <w:p w14:paraId="0B4603B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OE16</w:t>
            </w:r>
          </w:p>
        </w:tc>
        <w:tc>
          <w:tcPr>
            <w:tcW w:w="5554" w:type="dxa"/>
          </w:tcPr>
          <w:p w14:paraId="770548F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Desired degree of expansion is usually attained.</w:t>
            </w:r>
          </w:p>
        </w:tc>
        <w:tc>
          <w:tcPr>
            <w:tcW w:w="1367" w:type="dxa"/>
          </w:tcPr>
          <w:p w14:paraId="6DFA556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09720E58">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Borders>
              <w:bottom w:val="single" w:color="auto" w:sz="4" w:space="0"/>
            </w:tcBorders>
          </w:tcPr>
          <w:p w14:paraId="2564B0E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OE17</w:t>
            </w:r>
          </w:p>
        </w:tc>
        <w:tc>
          <w:tcPr>
            <w:tcW w:w="5554" w:type="dxa"/>
            <w:tcBorders>
              <w:bottom w:val="single" w:color="auto" w:sz="4" w:space="0"/>
            </w:tcBorders>
          </w:tcPr>
          <w:p w14:paraId="04D251D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Interests of the various constituencies are often satisfied.</w:t>
            </w:r>
          </w:p>
        </w:tc>
        <w:tc>
          <w:tcPr>
            <w:tcW w:w="1367" w:type="dxa"/>
            <w:tcBorders>
              <w:bottom w:val="single" w:color="auto" w:sz="4" w:space="0"/>
            </w:tcBorders>
          </w:tcPr>
          <w:p w14:paraId="5B423F8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r w14:paraId="2F1908EC">
        <w:tblPrEx>
          <w:tblBorders>
            <w:top w:val="single" w:color="BEBEBE" w:sz="4" w:space="0"/>
            <w:left w:val="single" w:color="BEBEBE" w:sz="4" w:space="0"/>
            <w:bottom w:val="none" w:color="auto" w:sz="0"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416" w:type="dxa"/>
            <w:tcBorders>
              <w:top w:val="single" w:color="auto" w:sz="4" w:space="0"/>
              <w:bottom w:val="single" w:color="auto" w:sz="4" w:space="0"/>
            </w:tcBorders>
          </w:tcPr>
          <w:p w14:paraId="0821530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Test scale </w:t>
            </w:r>
          </w:p>
        </w:tc>
        <w:tc>
          <w:tcPr>
            <w:tcW w:w="5554" w:type="dxa"/>
            <w:tcBorders>
              <w:top w:val="single" w:color="auto" w:sz="4" w:space="0"/>
              <w:bottom w:val="single" w:color="auto" w:sz="4" w:space="0"/>
            </w:tcBorders>
          </w:tcPr>
          <w:p w14:paraId="43F48E0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c>
          <w:tcPr>
            <w:tcW w:w="1367" w:type="dxa"/>
            <w:tcBorders>
              <w:top w:val="single" w:color="auto" w:sz="4" w:space="0"/>
              <w:bottom w:val="single" w:color="auto" w:sz="4" w:space="0"/>
            </w:tcBorders>
          </w:tcPr>
          <w:p w14:paraId="6B2E5F5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0.96</w:t>
            </w:r>
          </w:p>
        </w:tc>
      </w:tr>
    </w:tbl>
    <w:p w14:paraId="7D1AE27E">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p>
    <w:p w14:paraId="51E0D31B">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p>
    <w:p w14:paraId="029E0E47">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Descriptive statistics </w:t>
      </w:r>
      <w:bookmarkEnd w:id="83"/>
      <w:bookmarkStart w:id="84" w:name="_Hlk109983566"/>
    </w:p>
    <w:p w14:paraId="7345466A">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Descriptive statistics was used to determine the level of corporate governance, risk management, fraud prevention and organisational effectiveness in the sampled firms. Descriptive statistic ensures raw data to be organised using mean, standard deviation and range for easy understanding (Kaur, Stoltzfus, &amp; Yellapu, 2018).</w:t>
      </w:r>
      <w:bookmarkStart w:id="85" w:name="_Toc110000570"/>
      <w:r>
        <w:rPr>
          <w:rFonts w:ascii="Times New Roman" w:hAnsi="Times New Roman" w:eastAsia="Times New Roman" w:cs="Times New Roman"/>
          <w:color w:val="auto"/>
          <w:kern w:val="0"/>
          <w:sz w:val="24"/>
          <w:szCs w:val="24"/>
          <w:lang w:val="en-US"/>
          <w14:ligatures w14:val="none"/>
        </w:rPr>
        <w:t xml:space="preserve"> Table 6 to 9 presents the descrptive statistics of each of the four constructs. Fraud risk exposure items were reverse scored before being combined with proactive items into the fraud prevention score. </w:t>
      </w:r>
    </w:p>
    <w:p w14:paraId="7DAE457B">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p>
    <w:p w14:paraId="0EEF0EDA">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Table 6: Descriptive statistics of corporate governance</w:t>
      </w:r>
    </w:p>
    <w:tbl>
      <w:tblPr>
        <w:tblStyle w:val="12"/>
        <w:tblW w:w="0" w:type="auto"/>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1531"/>
        <w:gridCol w:w="1531"/>
        <w:gridCol w:w="1531"/>
        <w:gridCol w:w="1531"/>
        <w:gridCol w:w="1531"/>
      </w:tblGrid>
      <w:tr w14:paraId="58B51D9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top w:val="single" w:color="auto" w:sz="4" w:space="0"/>
              <w:bottom w:val="single" w:color="auto" w:sz="4" w:space="0"/>
            </w:tcBorders>
          </w:tcPr>
          <w:p w14:paraId="29F8F27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1531" w:type="dxa"/>
            <w:tcBorders>
              <w:top w:val="single" w:color="auto" w:sz="4" w:space="0"/>
              <w:bottom w:val="single" w:color="auto" w:sz="4" w:space="0"/>
            </w:tcBorders>
          </w:tcPr>
          <w:p w14:paraId="259D6F5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Min </w:t>
            </w:r>
          </w:p>
        </w:tc>
        <w:tc>
          <w:tcPr>
            <w:tcW w:w="1531" w:type="dxa"/>
            <w:tcBorders>
              <w:top w:val="single" w:color="auto" w:sz="4" w:space="0"/>
              <w:bottom w:val="single" w:color="auto" w:sz="4" w:space="0"/>
            </w:tcBorders>
          </w:tcPr>
          <w:p w14:paraId="7325326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Max</w:t>
            </w:r>
          </w:p>
        </w:tc>
        <w:tc>
          <w:tcPr>
            <w:tcW w:w="1531" w:type="dxa"/>
            <w:tcBorders>
              <w:top w:val="single" w:color="auto" w:sz="4" w:space="0"/>
              <w:bottom w:val="single" w:color="auto" w:sz="4" w:space="0"/>
            </w:tcBorders>
          </w:tcPr>
          <w:p w14:paraId="270F929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Mean</w:t>
            </w:r>
          </w:p>
        </w:tc>
        <w:tc>
          <w:tcPr>
            <w:tcW w:w="1531" w:type="dxa"/>
            <w:tcBorders>
              <w:top w:val="single" w:color="auto" w:sz="4" w:space="0"/>
              <w:bottom w:val="single" w:color="auto" w:sz="4" w:space="0"/>
            </w:tcBorders>
          </w:tcPr>
          <w:p w14:paraId="17A17B3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SD</w:t>
            </w:r>
          </w:p>
        </w:tc>
      </w:tr>
      <w:tr w14:paraId="2FC2F1E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top w:val="single" w:color="auto" w:sz="4" w:space="0"/>
            </w:tcBorders>
          </w:tcPr>
          <w:p w14:paraId="3B8C675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w:t>
            </w:r>
          </w:p>
        </w:tc>
        <w:tc>
          <w:tcPr>
            <w:tcW w:w="1531" w:type="dxa"/>
            <w:tcBorders>
              <w:top w:val="single" w:color="auto" w:sz="4" w:space="0"/>
            </w:tcBorders>
          </w:tcPr>
          <w:p w14:paraId="784018F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Borders>
              <w:top w:val="single" w:color="auto" w:sz="4" w:space="0"/>
            </w:tcBorders>
          </w:tcPr>
          <w:p w14:paraId="54B6B93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top w:val="single" w:color="auto" w:sz="4" w:space="0"/>
            </w:tcBorders>
          </w:tcPr>
          <w:p w14:paraId="41EBAD6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4.10</w:t>
            </w:r>
          </w:p>
        </w:tc>
        <w:tc>
          <w:tcPr>
            <w:tcW w:w="1531" w:type="dxa"/>
            <w:tcBorders>
              <w:top w:val="single" w:color="auto" w:sz="4" w:space="0"/>
            </w:tcBorders>
          </w:tcPr>
          <w:p w14:paraId="36BEEAE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0.91</w:t>
            </w:r>
          </w:p>
        </w:tc>
      </w:tr>
      <w:tr w14:paraId="32CC605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0150773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CG2</w:t>
            </w:r>
          </w:p>
        </w:tc>
        <w:tc>
          <w:tcPr>
            <w:tcW w:w="1531" w:type="dxa"/>
          </w:tcPr>
          <w:p w14:paraId="09C85C2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4665623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5A99959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4.10</w:t>
            </w:r>
          </w:p>
        </w:tc>
        <w:tc>
          <w:tcPr>
            <w:tcW w:w="1531" w:type="dxa"/>
          </w:tcPr>
          <w:p w14:paraId="668C9D8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1.01</w:t>
            </w:r>
          </w:p>
        </w:tc>
      </w:tr>
      <w:tr w14:paraId="0350022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07C2FE6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CG3</w:t>
            </w:r>
          </w:p>
        </w:tc>
        <w:tc>
          <w:tcPr>
            <w:tcW w:w="1531" w:type="dxa"/>
          </w:tcPr>
          <w:p w14:paraId="29D2F99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497F6FC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06CDBDE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4.10</w:t>
            </w:r>
          </w:p>
        </w:tc>
        <w:tc>
          <w:tcPr>
            <w:tcW w:w="1531" w:type="dxa"/>
          </w:tcPr>
          <w:p w14:paraId="1AE07C4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0.84</w:t>
            </w:r>
          </w:p>
        </w:tc>
      </w:tr>
      <w:tr w14:paraId="4CC4534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6B24797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CG4</w:t>
            </w:r>
          </w:p>
        </w:tc>
        <w:tc>
          <w:tcPr>
            <w:tcW w:w="1531" w:type="dxa"/>
          </w:tcPr>
          <w:p w14:paraId="7204EF7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230B790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422C302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4.10</w:t>
            </w:r>
          </w:p>
        </w:tc>
        <w:tc>
          <w:tcPr>
            <w:tcW w:w="1531" w:type="dxa"/>
          </w:tcPr>
          <w:p w14:paraId="493FDA9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0.95</w:t>
            </w:r>
          </w:p>
        </w:tc>
      </w:tr>
      <w:tr w14:paraId="35827D3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4D4BF47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CG5</w:t>
            </w:r>
          </w:p>
        </w:tc>
        <w:tc>
          <w:tcPr>
            <w:tcW w:w="1531" w:type="dxa"/>
          </w:tcPr>
          <w:p w14:paraId="13704F5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742216A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7BA824D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4.10</w:t>
            </w:r>
          </w:p>
        </w:tc>
        <w:tc>
          <w:tcPr>
            <w:tcW w:w="1531" w:type="dxa"/>
          </w:tcPr>
          <w:p w14:paraId="7D49195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0.81</w:t>
            </w:r>
          </w:p>
        </w:tc>
      </w:tr>
      <w:tr w14:paraId="43790A9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1DE8753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CG6</w:t>
            </w:r>
          </w:p>
        </w:tc>
        <w:tc>
          <w:tcPr>
            <w:tcW w:w="1531" w:type="dxa"/>
          </w:tcPr>
          <w:p w14:paraId="407A9D4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366FC31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7BD9B13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4.06</w:t>
            </w:r>
          </w:p>
        </w:tc>
        <w:tc>
          <w:tcPr>
            <w:tcW w:w="1531" w:type="dxa"/>
          </w:tcPr>
          <w:p w14:paraId="4B02E77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0.89</w:t>
            </w:r>
          </w:p>
        </w:tc>
      </w:tr>
      <w:tr w14:paraId="11A5BC3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62826BB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CG7</w:t>
            </w:r>
          </w:p>
        </w:tc>
        <w:tc>
          <w:tcPr>
            <w:tcW w:w="1531" w:type="dxa"/>
          </w:tcPr>
          <w:p w14:paraId="1BF50FD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537BA01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486658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4.10</w:t>
            </w:r>
          </w:p>
        </w:tc>
        <w:tc>
          <w:tcPr>
            <w:tcW w:w="1531" w:type="dxa"/>
          </w:tcPr>
          <w:p w14:paraId="067AE04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0.91</w:t>
            </w:r>
          </w:p>
        </w:tc>
      </w:tr>
      <w:tr w14:paraId="553B018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2979A38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CG8</w:t>
            </w:r>
          </w:p>
        </w:tc>
        <w:tc>
          <w:tcPr>
            <w:tcW w:w="1531" w:type="dxa"/>
          </w:tcPr>
          <w:p w14:paraId="20F9141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443C0B8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536F0CC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4.06</w:t>
            </w:r>
          </w:p>
        </w:tc>
        <w:tc>
          <w:tcPr>
            <w:tcW w:w="1531" w:type="dxa"/>
          </w:tcPr>
          <w:p w14:paraId="42929CA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0.87</w:t>
            </w:r>
          </w:p>
        </w:tc>
      </w:tr>
      <w:tr w14:paraId="0475EA68">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65BAF70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CG9</w:t>
            </w:r>
          </w:p>
        </w:tc>
        <w:tc>
          <w:tcPr>
            <w:tcW w:w="1531" w:type="dxa"/>
          </w:tcPr>
          <w:p w14:paraId="3D36BB1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203DBDC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2E41EEA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4.04</w:t>
            </w:r>
          </w:p>
        </w:tc>
        <w:tc>
          <w:tcPr>
            <w:tcW w:w="1531" w:type="dxa"/>
          </w:tcPr>
          <w:p w14:paraId="359CB01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0.97</w:t>
            </w:r>
          </w:p>
        </w:tc>
      </w:tr>
      <w:tr w14:paraId="32C2072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5D89C5D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CG10</w:t>
            </w:r>
          </w:p>
        </w:tc>
        <w:tc>
          <w:tcPr>
            <w:tcW w:w="1531" w:type="dxa"/>
          </w:tcPr>
          <w:p w14:paraId="652BF66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2C82DBD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4F5407A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4.26</w:t>
            </w:r>
          </w:p>
        </w:tc>
        <w:tc>
          <w:tcPr>
            <w:tcW w:w="1531" w:type="dxa"/>
          </w:tcPr>
          <w:p w14:paraId="4A2661F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0.75</w:t>
            </w:r>
          </w:p>
        </w:tc>
      </w:tr>
      <w:tr w14:paraId="1CC29819">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3D52019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CG11</w:t>
            </w:r>
          </w:p>
        </w:tc>
        <w:tc>
          <w:tcPr>
            <w:tcW w:w="1531" w:type="dxa"/>
          </w:tcPr>
          <w:p w14:paraId="1CEF26C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3F3AF57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725BBB9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4.16</w:t>
            </w:r>
          </w:p>
        </w:tc>
        <w:tc>
          <w:tcPr>
            <w:tcW w:w="1531" w:type="dxa"/>
          </w:tcPr>
          <w:p w14:paraId="141DFB0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0.82</w:t>
            </w:r>
          </w:p>
        </w:tc>
      </w:tr>
      <w:tr w14:paraId="5C73804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bottom w:val="single" w:color="BEBEBE" w:sz="4" w:space="0"/>
            </w:tcBorders>
          </w:tcPr>
          <w:p w14:paraId="27739E3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CG12</w:t>
            </w:r>
          </w:p>
        </w:tc>
        <w:tc>
          <w:tcPr>
            <w:tcW w:w="1531" w:type="dxa"/>
            <w:tcBorders>
              <w:bottom w:val="single" w:color="BEBEBE" w:sz="4" w:space="0"/>
            </w:tcBorders>
          </w:tcPr>
          <w:p w14:paraId="46D184D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Borders>
              <w:bottom w:val="single" w:color="BEBEBE" w:sz="4" w:space="0"/>
            </w:tcBorders>
          </w:tcPr>
          <w:p w14:paraId="68911D8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bottom w:val="single" w:color="BEBEBE" w:sz="4" w:space="0"/>
            </w:tcBorders>
          </w:tcPr>
          <w:p w14:paraId="66F0D3D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3.94</w:t>
            </w:r>
          </w:p>
        </w:tc>
        <w:tc>
          <w:tcPr>
            <w:tcW w:w="1531" w:type="dxa"/>
            <w:tcBorders>
              <w:bottom w:val="single" w:color="BEBEBE" w:sz="4" w:space="0"/>
            </w:tcBorders>
          </w:tcPr>
          <w:p w14:paraId="198E40F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0.93</w:t>
            </w:r>
          </w:p>
        </w:tc>
      </w:tr>
      <w:tr w14:paraId="68F6F2D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bottom w:val="single" w:color="auto" w:sz="4" w:space="0"/>
            </w:tcBorders>
          </w:tcPr>
          <w:p w14:paraId="4FB7186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CG13</w:t>
            </w:r>
          </w:p>
        </w:tc>
        <w:tc>
          <w:tcPr>
            <w:tcW w:w="1531" w:type="dxa"/>
            <w:tcBorders>
              <w:bottom w:val="single" w:color="auto" w:sz="4" w:space="0"/>
            </w:tcBorders>
          </w:tcPr>
          <w:p w14:paraId="21E2395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Borders>
              <w:bottom w:val="single" w:color="auto" w:sz="4" w:space="0"/>
            </w:tcBorders>
          </w:tcPr>
          <w:p w14:paraId="47CE553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bottom w:val="single" w:color="auto" w:sz="4" w:space="0"/>
            </w:tcBorders>
          </w:tcPr>
          <w:p w14:paraId="4C19622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4.08</w:t>
            </w:r>
          </w:p>
        </w:tc>
        <w:tc>
          <w:tcPr>
            <w:tcW w:w="1531" w:type="dxa"/>
            <w:tcBorders>
              <w:bottom w:val="single" w:color="auto" w:sz="4" w:space="0"/>
            </w:tcBorders>
          </w:tcPr>
          <w:p w14:paraId="554C9BF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0.85</w:t>
            </w:r>
          </w:p>
        </w:tc>
      </w:tr>
    </w:tbl>
    <w:p w14:paraId="1B727989">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p>
    <w:p w14:paraId="19D00740">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overall evaluation of the corporate governance practice was favourable by the participants (mean = 4.08, SD = 0.71). The mean score of each of the thirteen items is more than 3.0. CG10 (the code of conduct is present in my company) was the highest rated item by respondents with a mean score of 4.26. And CG12 (employees in my company are encouraged to report illegal or wasteful activities) had the lowest mean (3.94). These respondents suggest that corporate governance frameworks and procedures are well developed within organisations.</w:t>
      </w:r>
    </w:p>
    <w:p w14:paraId="6AB2A1E1">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p>
    <w:p w14:paraId="07F730A0">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Table 7: Descriptive statistics of risk management </w:t>
      </w:r>
    </w:p>
    <w:tbl>
      <w:tblPr>
        <w:tblStyle w:val="12"/>
        <w:tblW w:w="7655" w:type="dxa"/>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1531"/>
        <w:gridCol w:w="1531"/>
        <w:gridCol w:w="1531"/>
        <w:gridCol w:w="1531"/>
        <w:gridCol w:w="1531"/>
      </w:tblGrid>
      <w:tr w14:paraId="3E2F8F72">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97" w:hRule="atLeast"/>
        </w:trPr>
        <w:tc>
          <w:tcPr>
            <w:tcW w:w="1531" w:type="dxa"/>
            <w:tcBorders>
              <w:top w:val="single" w:color="auto" w:sz="4" w:space="0"/>
              <w:bottom w:val="single" w:color="auto" w:sz="4" w:space="0"/>
            </w:tcBorders>
          </w:tcPr>
          <w:p w14:paraId="3F33277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1531" w:type="dxa"/>
            <w:tcBorders>
              <w:top w:val="single" w:color="auto" w:sz="4" w:space="0"/>
              <w:bottom w:val="single" w:color="auto" w:sz="4" w:space="0"/>
            </w:tcBorders>
          </w:tcPr>
          <w:p w14:paraId="1EE8A91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Min </w:t>
            </w:r>
          </w:p>
        </w:tc>
        <w:tc>
          <w:tcPr>
            <w:tcW w:w="1531" w:type="dxa"/>
            <w:tcBorders>
              <w:top w:val="single" w:color="auto" w:sz="4" w:space="0"/>
              <w:bottom w:val="single" w:color="auto" w:sz="4" w:space="0"/>
            </w:tcBorders>
          </w:tcPr>
          <w:p w14:paraId="2BA2E5C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Max </w:t>
            </w:r>
          </w:p>
        </w:tc>
        <w:tc>
          <w:tcPr>
            <w:tcW w:w="1531" w:type="dxa"/>
            <w:tcBorders>
              <w:top w:val="single" w:color="auto" w:sz="4" w:space="0"/>
              <w:bottom w:val="single" w:color="auto" w:sz="4" w:space="0"/>
            </w:tcBorders>
          </w:tcPr>
          <w:p w14:paraId="18B0B15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Mean </w:t>
            </w:r>
          </w:p>
        </w:tc>
        <w:tc>
          <w:tcPr>
            <w:tcW w:w="1531" w:type="dxa"/>
            <w:tcBorders>
              <w:top w:val="single" w:color="auto" w:sz="4" w:space="0"/>
              <w:bottom w:val="single" w:color="auto" w:sz="4" w:space="0"/>
            </w:tcBorders>
          </w:tcPr>
          <w:p w14:paraId="502A675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SD</w:t>
            </w:r>
          </w:p>
        </w:tc>
      </w:tr>
      <w:tr w14:paraId="608AECA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97" w:hRule="atLeast"/>
        </w:trPr>
        <w:tc>
          <w:tcPr>
            <w:tcW w:w="1531" w:type="dxa"/>
            <w:tcBorders>
              <w:top w:val="single" w:color="auto" w:sz="4" w:space="0"/>
            </w:tcBorders>
          </w:tcPr>
          <w:p w14:paraId="1CD804D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RM1</w:t>
            </w:r>
          </w:p>
        </w:tc>
        <w:tc>
          <w:tcPr>
            <w:tcW w:w="1531" w:type="dxa"/>
            <w:tcBorders>
              <w:top w:val="single" w:color="auto" w:sz="4" w:space="0"/>
            </w:tcBorders>
          </w:tcPr>
          <w:p w14:paraId="20E6BE8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Borders>
              <w:top w:val="single" w:color="auto" w:sz="4" w:space="0"/>
            </w:tcBorders>
          </w:tcPr>
          <w:p w14:paraId="7F3E5E3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top w:val="single" w:color="auto" w:sz="4" w:space="0"/>
            </w:tcBorders>
          </w:tcPr>
          <w:p w14:paraId="3B9C531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4.04</w:t>
            </w:r>
          </w:p>
        </w:tc>
        <w:tc>
          <w:tcPr>
            <w:tcW w:w="1531" w:type="dxa"/>
            <w:tcBorders>
              <w:top w:val="single" w:color="auto" w:sz="4" w:space="0"/>
            </w:tcBorders>
          </w:tcPr>
          <w:p w14:paraId="68EED21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0.90</w:t>
            </w:r>
          </w:p>
        </w:tc>
      </w:tr>
      <w:tr w14:paraId="67E1927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97" w:hRule="atLeast"/>
        </w:trPr>
        <w:tc>
          <w:tcPr>
            <w:tcW w:w="1531" w:type="dxa"/>
          </w:tcPr>
          <w:p w14:paraId="799F734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RM2</w:t>
            </w:r>
          </w:p>
        </w:tc>
        <w:tc>
          <w:tcPr>
            <w:tcW w:w="1531" w:type="dxa"/>
          </w:tcPr>
          <w:p w14:paraId="2373814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2BE42F9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48A9FE0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4.16</w:t>
            </w:r>
          </w:p>
        </w:tc>
        <w:tc>
          <w:tcPr>
            <w:tcW w:w="1531" w:type="dxa"/>
          </w:tcPr>
          <w:p w14:paraId="259C6E2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0.87</w:t>
            </w:r>
          </w:p>
        </w:tc>
      </w:tr>
      <w:tr w14:paraId="54B6976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97" w:hRule="atLeast"/>
        </w:trPr>
        <w:tc>
          <w:tcPr>
            <w:tcW w:w="1531" w:type="dxa"/>
          </w:tcPr>
          <w:p w14:paraId="7ADA38C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RM3</w:t>
            </w:r>
          </w:p>
        </w:tc>
        <w:tc>
          <w:tcPr>
            <w:tcW w:w="1531" w:type="dxa"/>
          </w:tcPr>
          <w:p w14:paraId="5B4673D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67239D8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612BB53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4.12</w:t>
            </w:r>
          </w:p>
        </w:tc>
        <w:tc>
          <w:tcPr>
            <w:tcW w:w="1531" w:type="dxa"/>
          </w:tcPr>
          <w:p w14:paraId="30CD6B8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0.82</w:t>
            </w:r>
          </w:p>
        </w:tc>
      </w:tr>
      <w:tr w14:paraId="50EBABE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97" w:hRule="atLeast"/>
        </w:trPr>
        <w:tc>
          <w:tcPr>
            <w:tcW w:w="1531" w:type="dxa"/>
          </w:tcPr>
          <w:p w14:paraId="7CAC909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RM4</w:t>
            </w:r>
          </w:p>
        </w:tc>
        <w:tc>
          <w:tcPr>
            <w:tcW w:w="1531" w:type="dxa"/>
          </w:tcPr>
          <w:p w14:paraId="3B97444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32DE164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6FE56B3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4.14</w:t>
            </w:r>
          </w:p>
        </w:tc>
        <w:tc>
          <w:tcPr>
            <w:tcW w:w="1531" w:type="dxa"/>
          </w:tcPr>
          <w:p w14:paraId="481A63A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0.88</w:t>
            </w:r>
          </w:p>
        </w:tc>
      </w:tr>
      <w:tr w14:paraId="2A457DB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97" w:hRule="atLeast"/>
        </w:trPr>
        <w:tc>
          <w:tcPr>
            <w:tcW w:w="1531" w:type="dxa"/>
            <w:tcBorders>
              <w:bottom w:val="single" w:color="BEBEBE" w:sz="4" w:space="0"/>
            </w:tcBorders>
          </w:tcPr>
          <w:p w14:paraId="3637589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RM5</w:t>
            </w:r>
          </w:p>
        </w:tc>
        <w:tc>
          <w:tcPr>
            <w:tcW w:w="1531" w:type="dxa"/>
            <w:tcBorders>
              <w:bottom w:val="single" w:color="BEBEBE" w:sz="4" w:space="0"/>
            </w:tcBorders>
          </w:tcPr>
          <w:p w14:paraId="517B00B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531" w:type="dxa"/>
            <w:tcBorders>
              <w:bottom w:val="single" w:color="BEBEBE" w:sz="4" w:space="0"/>
            </w:tcBorders>
          </w:tcPr>
          <w:p w14:paraId="2DFC6F0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bottom w:val="single" w:color="BEBEBE" w:sz="4" w:space="0"/>
            </w:tcBorders>
          </w:tcPr>
          <w:p w14:paraId="2CDF784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4.18</w:t>
            </w:r>
          </w:p>
        </w:tc>
        <w:tc>
          <w:tcPr>
            <w:tcW w:w="1531" w:type="dxa"/>
            <w:tcBorders>
              <w:bottom w:val="single" w:color="BEBEBE" w:sz="4" w:space="0"/>
            </w:tcBorders>
          </w:tcPr>
          <w:p w14:paraId="45B5FF4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0.72</w:t>
            </w:r>
          </w:p>
        </w:tc>
      </w:tr>
      <w:tr w14:paraId="5C93A98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397" w:hRule="atLeast"/>
        </w:trPr>
        <w:tc>
          <w:tcPr>
            <w:tcW w:w="1531" w:type="dxa"/>
            <w:tcBorders>
              <w:bottom w:val="single" w:color="auto" w:sz="4" w:space="0"/>
            </w:tcBorders>
          </w:tcPr>
          <w:p w14:paraId="1B84457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RM6</w:t>
            </w:r>
          </w:p>
        </w:tc>
        <w:tc>
          <w:tcPr>
            <w:tcW w:w="1531" w:type="dxa"/>
            <w:tcBorders>
              <w:bottom w:val="single" w:color="auto" w:sz="4" w:space="0"/>
            </w:tcBorders>
          </w:tcPr>
          <w:p w14:paraId="38985E1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Borders>
              <w:bottom w:val="single" w:color="auto" w:sz="4" w:space="0"/>
            </w:tcBorders>
          </w:tcPr>
          <w:p w14:paraId="3651FD6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bottom w:val="single" w:color="auto" w:sz="4" w:space="0"/>
            </w:tcBorders>
          </w:tcPr>
          <w:p w14:paraId="3322B76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4.10</w:t>
            </w:r>
          </w:p>
        </w:tc>
        <w:tc>
          <w:tcPr>
            <w:tcW w:w="1531" w:type="dxa"/>
            <w:tcBorders>
              <w:bottom w:val="single" w:color="auto" w:sz="4" w:space="0"/>
            </w:tcBorders>
          </w:tcPr>
          <w:p w14:paraId="6D5389D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0.92</w:t>
            </w:r>
          </w:p>
        </w:tc>
      </w:tr>
    </w:tbl>
    <w:p w14:paraId="6B82F33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p w14:paraId="2EF00AFC">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With an overall mean of 4.12. The highest mean is 4.18, while the least mean is 4.04. This shows that the firms can handle some stages of risk management better than others.</w:t>
      </w:r>
    </w:p>
    <w:p w14:paraId="2008BCBA">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p>
    <w:p w14:paraId="2CE002A3">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Table 8: Descriptive statistics of fraud prevention</w:t>
      </w:r>
    </w:p>
    <w:tbl>
      <w:tblPr>
        <w:tblStyle w:val="12"/>
        <w:tblW w:w="0" w:type="auto"/>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1531"/>
        <w:gridCol w:w="1531"/>
        <w:gridCol w:w="1531"/>
        <w:gridCol w:w="1531"/>
        <w:gridCol w:w="1531"/>
      </w:tblGrid>
      <w:tr w14:paraId="1D2DA1B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top w:val="single" w:color="auto" w:sz="4" w:space="0"/>
              <w:bottom w:val="single" w:color="auto" w:sz="4" w:space="0"/>
            </w:tcBorders>
          </w:tcPr>
          <w:p w14:paraId="13F7476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1531" w:type="dxa"/>
            <w:tcBorders>
              <w:top w:val="single" w:color="auto" w:sz="4" w:space="0"/>
              <w:bottom w:val="single" w:color="auto" w:sz="4" w:space="0"/>
            </w:tcBorders>
          </w:tcPr>
          <w:p w14:paraId="47B5987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Min</w:t>
            </w:r>
          </w:p>
        </w:tc>
        <w:tc>
          <w:tcPr>
            <w:tcW w:w="1531" w:type="dxa"/>
            <w:tcBorders>
              <w:top w:val="single" w:color="auto" w:sz="4" w:space="0"/>
              <w:bottom w:val="single" w:color="auto" w:sz="4" w:space="0"/>
            </w:tcBorders>
          </w:tcPr>
          <w:p w14:paraId="0084AF5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Max</w:t>
            </w:r>
          </w:p>
        </w:tc>
        <w:tc>
          <w:tcPr>
            <w:tcW w:w="1531" w:type="dxa"/>
            <w:tcBorders>
              <w:top w:val="single" w:color="auto" w:sz="4" w:space="0"/>
              <w:bottom w:val="single" w:color="auto" w:sz="4" w:space="0"/>
            </w:tcBorders>
          </w:tcPr>
          <w:p w14:paraId="5420EC8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Mean</w:t>
            </w:r>
          </w:p>
        </w:tc>
        <w:tc>
          <w:tcPr>
            <w:tcW w:w="1531" w:type="dxa"/>
            <w:tcBorders>
              <w:top w:val="single" w:color="auto" w:sz="4" w:space="0"/>
              <w:bottom w:val="single" w:color="auto" w:sz="4" w:space="0"/>
            </w:tcBorders>
          </w:tcPr>
          <w:p w14:paraId="6A8594D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SD</w:t>
            </w:r>
          </w:p>
        </w:tc>
      </w:tr>
      <w:tr w14:paraId="19CECF85">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top w:val="single" w:color="auto" w:sz="4" w:space="0"/>
            </w:tcBorders>
          </w:tcPr>
          <w:p w14:paraId="6A4493D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w:t>
            </w:r>
          </w:p>
        </w:tc>
        <w:tc>
          <w:tcPr>
            <w:tcW w:w="1531" w:type="dxa"/>
            <w:tcBorders>
              <w:top w:val="single" w:color="auto" w:sz="4" w:space="0"/>
            </w:tcBorders>
          </w:tcPr>
          <w:p w14:paraId="4673D26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Borders>
              <w:top w:val="single" w:color="auto" w:sz="4" w:space="0"/>
            </w:tcBorders>
          </w:tcPr>
          <w:p w14:paraId="0D49788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top w:val="single" w:color="auto" w:sz="4" w:space="0"/>
            </w:tcBorders>
          </w:tcPr>
          <w:p w14:paraId="5A8F437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4.08</w:t>
            </w:r>
          </w:p>
        </w:tc>
        <w:tc>
          <w:tcPr>
            <w:tcW w:w="1531" w:type="dxa"/>
            <w:tcBorders>
              <w:top w:val="single" w:color="auto" w:sz="4" w:space="0"/>
            </w:tcBorders>
          </w:tcPr>
          <w:p w14:paraId="4B7C7C6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0.80</w:t>
            </w:r>
          </w:p>
        </w:tc>
      </w:tr>
      <w:tr w14:paraId="2FB7F73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0317F75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FP2</w:t>
            </w:r>
          </w:p>
        </w:tc>
        <w:tc>
          <w:tcPr>
            <w:tcW w:w="1531" w:type="dxa"/>
          </w:tcPr>
          <w:p w14:paraId="31AD20B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3363BA9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79CA1A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4.06</w:t>
            </w:r>
          </w:p>
        </w:tc>
        <w:tc>
          <w:tcPr>
            <w:tcW w:w="1531" w:type="dxa"/>
          </w:tcPr>
          <w:p w14:paraId="685F6AF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0.93</w:t>
            </w:r>
          </w:p>
        </w:tc>
      </w:tr>
      <w:tr w14:paraId="6146BA6F">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0C2CB8C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FP3</w:t>
            </w:r>
          </w:p>
        </w:tc>
        <w:tc>
          <w:tcPr>
            <w:tcW w:w="1531" w:type="dxa"/>
          </w:tcPr>
          <w:p w14:paraId="4574ADD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0A3902E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4E85CD6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4.12</w:t>
            </w:r>
          </w:p>
        </w:tc>
        <w:tc>
          <w:tcPr>
            <w:tcW w:w="1531" w:type="dxa"/>
          </w:tcPr>
          <w:p w14:paraId="001E21F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0.85</w:t>
            </w:r>
          </w:p>
        </w:tc>
      </w:tr>
      <w:tr w14:paraId="50A61C5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56CBD1F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FP4</w:t>
            </w:r>
          </w:p>
        </w:tc>
        <w:tc>
          <w:tcPr>
            <w:tcW w:w="1531" w:type="dxa"/>
          </w:tcPr>
          <w:p w14:paraId="7BFCFB2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2AA5EA4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71A45DA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4.18</w:t>
            </w:r>
          </w:p>
        </w:tc>
        <w:tc>
          <w:tcPr>
            <w:tcW w:w="1531" w:type="dxa"/>
          </w:tcPr>
          <w:p w14:paraId="08C5A26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0.90</w:t>
            </w:r>
          </w:p>
        </w:tc>
      </w:tr>
      <w:tr w14:paraId="1819EB0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02A086B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FP5</w:t>
            </w:r>
          </w:p>
        </w:tc>
        <w:tc>
          <w:tcPr>
            <w:tcW w:w="1531" w:type="dxa"/>
          </w:tcPr>
          <w:p w14:paraId="19F6D4E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40E362F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6867353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2.64</w:t>
            </w:r>
          </w:p>
        </w:tc>
        <w:tc>
          <w:tcPr>
            <w:tcW w:w="1531" w:type="dxa"/>
          </w:tcPr>
          <w:p w14:paraId="410E05D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1.34</w:t>
            </w:r>
          </w:p>
        </w:tc>
      </w:tr>
      <w:tr w14:paraId="22A59FB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5C1871C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FP6</w:t>
            </w:r>
          </w:p>
        </w:tc>
        <w:tc>
          <w:tcPr>
            <w:tcW w:w="1531" w:type="dxa"/>
          </w:tcPr>
          <w:p w14:paraId="74F2FF5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5C9CDBE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307F00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2.66</w:t>
            </w:r>
          </w:p>
        </w:tc>
        <w:tc>
          <w:tcPr>
            <w:tcW w:w="1531" w:type="dxa"/>
          </w:tcPr>
          <w:p w14:paraId="224FE09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1.47</w:t>
            </w:r>
          </w:p>
        </w:tc>
      </w:tr>
      <w:tr w14:paraId="409F7E8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127D653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FP7</w:t>
            </w:r>
          </w:p>
        </w:tc>
        <w:tc>
          <w:tcPr>
            <w:tcW w:w="1531" w:type="dxa"/>
          </w:tcPr>
          <w:p w14:paraId="73768FB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37712B4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096E24C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2.60</w:t>
            </w:r>
          </w:p>
        </w:tc>
        <w:tc>
          <w:tcPr>
            <w:tcW w:w="1531" w:type="dxa"/>
          </w:tcPr>
          <w:p w14:paraId="6D0F7E9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1.37</w:t>
            </w:r>
          </w:p>
        </w:tc>
      </w:tr>
      <w:tr w14:paraId="3F61538C">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26DF798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FP8</w:t>
            </w:r>
          </w:p>
        </w:tc>
        <w:tc>
          <w:tcPr>
            <w:tcW w:w="1531" w:type="dxa"/>
          </w:tcPr>
          <w:p w14:paraId="646C093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3152E40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1F168E5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2.66</w:t>
            </w:r>
          </w:p>
        </w:tc>
        <w:tc>
          <w:tcPr>
            <w:tcW w:w="1531" w:type="dxa"/>
          </w:tcPr>
          <w:p w14:paraId="670683B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1.29</w:t>
            </w:r>
          </w:p>
        </w:tc>
      </w:tr>
      <w:tr w14:paraId="2591E4E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45F7A8C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FP9</w:t>
            </w:r>
          </w:p>
        </w:tc>
        <w:tc>
          <w:tcPr>
            <w:tcW w:w="1531" w:type="dxa"/>
          </w:tcPr>
          <w:p w14:paraId="03C4F45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2715331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065681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2.68</w:t>
            </w:r>
          </w:p>
        </w:tc>
        <w:tc>
          <w:tcPr>
            <w:tcW w:w="1531" w:type="dxa"/>
          </w:tcPr>
          <w:p w14:paraId="209EA42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1.46</w:t>
            </w:r>
          </w:p>
        </w:tc>
      </w:tr>
      <w:tr w14:paraId="41E4FF0E">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74CF28E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FP10</w:t>
            </w:r>
          </w:p>
        </w:tc>
        <w:tc>
          <w:tcPr>
            <w:tcW w:w="1531" w:type="dxa"/>
          </w:tcPr>
          <w:p w14:paraId="68ACF12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2E03B47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46B7CF1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2.68</w:t>
            </w:r>
          </w:p>
        </w:tc>
        <w:tc>
          <w:tcPr>
            <w:tcW w:w="1531" w:type="dxa"/>
          </w:tcPr>
          <w:p w14:paraId="5F3F8A4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1.39</w:t>
            </w:r>
          </w:p>
        </w:tc>
      </w:tr>
      <w:tr w14:paraId="7C252963">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030520A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FP11</w:t>
            </w:r>
          </w:p>
        </w:tc>
        <w:tc>
          <w:tcPr>
            <w:tcW w:w="1531" w:type="dxa"/>
          </w:tcPr>
          <w:p w14:paraId="57D852E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3439EC5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100C0BC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2.52</w:t>
            </w:r>
          </w:p>
        </w:tc>
        <w:tc>
          <w:tcPr>
            <w:tcW w:w="1531" w:type="dxa"/>
          </w:tcPr>
          <w:p w14:paraId="6702C14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1.40</w:t>
            </w:r>
          </w:p>
        </w:tc>
      </w:tr>
      <w:tr w14:paraId="3AEBEA9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4B25FAA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FP12</w:t>
            </w:r>
          </w:p>
        </w:tc>
        <w:tc>
          <w:tcPr>
            <w:tcW w:w="1531" w:type="dxa"/>
          </w:tcPr>
          <w:p w14:paraId="16EB815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1B4E4BE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60F7242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3.88</w:t>
            </w:r>
          </w:p>
        </w:tc>
        <w:tc>
          <w:tcPr>
            <w:tcW w:w="1531" w:type="dxa"/>
          </w:tcPr>
          <w:p w14:paraId="4216BA7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1.10</w:t>
            </w:r>
          </w:p>
        </w:tc>
      </w:tr>
      <w:tr w14:paraId="0BE67B94">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Pr>
          <w:p w14:paraId="7B11DA9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FP13</w:t>
            </w:r>
          </w:p>
        </w:tc>
        <w:tc>
          <w:tcPr>
            <w:tcW w:w="1531" w:type="dxa"/>
          </w:tcPr>
          <w:p w14:paraId="25127CA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4A09F29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6710D42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3.50</w:t>
            </w:r>
          </w:p>
        </w:tc>
        <w:tc>
          <w:tcPr>
            <w:tcW w:w="1531" w:type="dxa"/>
          </w:tcPr>
          <w:p w14:paraId="292BEA6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1.25</w:t>
            </w:r>
          </w:p>
        </w:tc>
      </w:tr>
      <w:tr w14:paraId="3FD6C63D">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bottom w:val="single" w:color="BEBEBE" w:sz="4" w:space="0"/>
            </w:tcBorders>
          </w:tcPr>
          <w:p w14:paraId="4BFB5C3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FP14</w:t>
            </w:r>
          </w:p>
        </w:tc>
        <w:tc>
          <w:tcPr>
            <w:tcW w:w="1531" w:type="dxa"/>
            <w:tcBorders>
              <w:bottom w:val="single" w:color="BEBEBE" w:sz="4" w:space="0"/>
            </w:tcBorders>
          </w:tcPr>
          <w:p w14:paraId="6F244C8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Borders>
              <w:bottom w:val="single" w:color="BEBEBE" w:sz="4" w:space="0"/>
            </w:tcBorders>
          </w:tcPr>
          <w:p w14:paraId="28438C7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bottom w:val="single" w:color="BEBEBE" w:sz="4" w:space="0"/>
            </w:tcBorders>
          </w:tcPr>
          <w:p w14:paraId="793390B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3.44</w:t>
            </w:r>
          </w:p>
        </w:tc>
        <w:tc>
          <w:tcPr>
            <w:tcW w:w="1531" w:type="dxa"/>
            <w:tcBorders>
              <w:bottom w:val="single" w:color="BEBEBE" w:sz="4" w:space="0"/>
            </w:tcBorders>
          </w:tcPr>
          <w:p w14:paraId="6F15AFE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1.16</w:t>
            </w:r>
          </w:p>
        </w:tc>
      </w:tr>
      <w:tr w14:paraId="4DEB6497">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rPr>
          <w:trHeight w:val="408" w:hRule="atLeast"/>
        </w:trPr>
        <w:tc>
          <w:tcPr>
            <w:tcW w:w="1531" w:type="dxa"/>
            <w:tcBorders>
              <w:bottom w:val="single" w:color="auto" w:sz="4" w:space="0"/>
            </w:tcBorders>
          </w:tcPr>
          <w:p w14:paraId="2E59AAE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FP15</w:t>
            </w:r>
          </w:p>
        </w:tc>
        <w:tc>
          <w:tcPr>
            <w:tcW w:w="1531" w:type="dxa"/>
            <w:tcBorders>
              <w:bottom w:val="single" w:color="auto" w:sz="4" w:space="0"/>
            </w:tcBorders>
          </w:tcPr>
          <w:p w14:paraId="52AE2A5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Borders>
              <w:bottom w:val="single" w:color="auto" w:sz="4" w:space="0"/>
            </w:tcBorders>
          </w:tcPr>
          <w:p w14:paraId="038E4C4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Borders>
              <w:bottom w:val="single" w:color="auto" w:sz="4" w:space="0"/>
            </w:tcBorders>
          </w:tcPr>
          <w:p w14:paraId="5DA3206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3.58</w:t>
            </w:r>
          </w:p>
        </w:tc>
        <w:tc>
          <w:tcPr>
            <w:tcW w:w="1531" w:type="dxa"/>
            <w:tcBorders>
              <w:bottom w:val="single" w:color="auto" w:sz="4" w:space="0"/>
            </w:tcBorders>
          </w:tcPr>
          <w:p w14:paraId="767D53C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1.21</w:t>
            </w:r>
          </w:p>
        </w:tc>
      </w:tr>
    </w:tbl>
    <w:p w14:paraId="39982F05">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p>
    <w:p w14:paraId="504943AE">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overall mean for fraud prevention is 3.29. This is lower than the mean for corporate governance and risk management. This shows the pull of the reverse scored fraud risk items, several of which recorded mean below 3.0 before reversal. This implies that respondents   perceive residual fraud risk even where proactive prevention items score more highly.</w:t>
      </w:r>
    </w:p>
    <w:p w14:paraId="12350E74">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p>
    <w:p w14:paraId="4753C13F">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Table 9: Descriptive statistics of organisational effectiveness</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1"/>
        <w:gridCol w:w="1531"/>
        <w:gridCol w:w="1531"/>
        <w:gridCol w:w="1531"/>
        <w:gridCol w:w="1531"/>
      </w:tblGrid>
      <w:tr w14:paraId="0B1B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6C9899E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Item code </w:t>
            </w:r>
          </w:p>
        </w:tc>
        <w:tc>
          <w:tcPr>
            <w:tcW w:w="1531" w:type="dxa"/>
          </w:tcPr>
          <w:p w14:paraId="1C5A5FF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Min </w:t>
            </w:r>
          </w:p>
        </w:tc>
        <w:tc>
          <w:tcPr>
            <w:tcW w:w="1531" w:type="dxa"/>
          </w:tcPr>
          <w:p w14:paraId="1AD0643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Max </w:t>
            </w:r>
          </w:p>
        </w:tc>
        <w:tc>
          <w:tcPr>
            <w:tcW w:w="1531" w:type="dxa"/>
          </w:tcPr>
          <w:p w14:paraId="3B89BAD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Mean </w:t>
            </w:r>
          </w:p>
        </w:tc>
        <w:tc>
          <w:tcPr>
            <w:tcW w:w="1531" w:type="dxa"/>
          </w:tcPr>
          <w:p w14:paraId="459460A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SD</w:t>
            </w:r>
          </w:p>
        </w:tc>
      </w:tr>
      <w:tr w14:paraId="54B3B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3908EA7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w:t>
            </w:r>
          </w:p>
        </w:tc>
        <w:tc>
          <w:tcPr>
            <w:tcW w:w="1531" w:type="dxa"/>
          </w:tcPr>
          <w:p w14:paraId="51E63D9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4490725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7F7BC9C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4.02</w:t>
            </w:r>
          </w:p>
        </w:tc>
        <w:tc>
          <w:tcPr>
            <w:tcW w:w="1531" w:type="dxa"/>
          </w:tcPr>
          <w:p w14:paraId="7C7AB16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0.89</w:t>
            </w:r>
          </w:p>
        </w:tc>
      </w:tr>
      <w:tr w14:paraId="1B6E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6F94763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OE2</w:t>
            </w:r>
          </w:p>
        </w:tc>
        <w:tc>
          <w:tcPr>
            <w:tcW w:w="1531" w:type="dxa"/>
          </w:tcPr>
          <w:p w14:paraId="5524600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64EB4E5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0A8602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4.24</w:t>
            </w:r>
          </w:p>
        </w:tc>
        <w:tc>
          <w:tcPr>
            <w:tcW w:w="1531" w:type="dxa"/>
          </w:tcPr>
          <w:p w14:paraId="795645F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0.82</w:t>
            </w:r>
          </w:p>
        </w:tc>
      </w:tr>
      <w:tr w14:paraId="4AC0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6BD343D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OE3</w:t>
            </w:r>
          </w:p>
        </w:tc>
        <w:tc>
          <w:tcPr>
            <w:tcW w:w="1531" w:type="dxa"/>
          </w:tcPr>
          <w:p w14:paraId="3D749A9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531" w:type="dxa"/>
          </w:tcPr>
          <w:p w14:paraId="7584810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47A156D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4.26</w:t>
            </w:r>
          </w:p>
        </w:tc>
        <w:tc>
          <w:tcPr>
            <w:tcW w:w="1531" w:type="dxa"/>
          </w:tcPr>
          <w:p w14:paraId="5C3ACF5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0.69</w:t>
            </w:r>
          </w:p>
        </w:tc>
      </w:tr>
      <w:tr w14:paraId="3C471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7F832EC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OE4</w:t>
            </w:r>
          </w:p>
        </w:tc>
        <w:tc>
          <w:tcPr>
            <w:tcW w:w="1531" w:type="dxa"/>
          </w:tcPr>
          <w:p w14:paraId="189204E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1943F50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271B000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4.32</w:t>
            </w:r>
          </w:p>
        </w:tc>
        <w:tc>
          <w:tcPr>
            <w:tcW w:w="1531" w:type="dxa"/>
          </w:tcPr>
          <w:p w14:paraId="5C3B008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0.79</w:t>
            </w:r>
          </w:p>
        </w:tc>
      </w:tr>
      <w:tr w14:paraId="1190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7307876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OE5</w:t>
            </w:r>
          </w:p>
        </w:tc>
        <w:tc>
          <w:tcPr>
            <w:tcW w:w="1531" w:type="dxa"/>
          </w:tcPr>
          <w:p w14:paraId="30FF0E2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66B5EB4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7F2470A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4.20</w:t>
            </w:r>
          </w:p>
        </w:tc>
        <w:tc>
          <w:tcPr>
            <w:tcW w:w="1531" w:type="dxa"/>
          </w:tcPr>
          <w:p w14:paraId="0625599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0.73</w:t>
            </w:r>
          </w:p>
        </w:tc>
      </w:tr>
      <w:tr w14:paraId="66969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1BE34B1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OE6</w:t>
            </w:r>
          </w:p>
        </w:tc>
        <w:tc>
          <w:tcPr>
            <w:tcW w:w="1531" w:type="dxa"/>
          </w:tcPr>
          <w:p w14:paraId="1D8D983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3C364DF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240F04E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4.14</w:t>
            </w:r>
          </w:p>
        </w:tc>
        <w:tc>
          <w:tcPr>
            <w:tcW w:w="1531" w:type="dxa"/>
          </w:tcPr>
          <w:p w14:paraId="5E23CE9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0.81</w:t>
            </w:r>
          </w:p>
        </w:tc>
      </w:tr>
      <w:tr w14:paraId="3CD04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4104C14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OE7</w:t>
            </w:r>
          </w:p>
        </w:tc>
        <w:tc>
          <w:tcPr>
            <w:tcW w:w="1531" w:type="dxa"/>
          </w:tcPr>
          <w:p w14:paraId="4F1C1B0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531" w:type="dxa"/>
          </w:tcPr>
          <w:p w14:paraId="293D929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EC05AB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4.24</w:t>
            </w:r>
          </w:p>
        </w:tc>
        <w:tc>
          <w:tcPr>
            <w:tcW w:w="1531" w:type="dxa"/>
          </w:tcPr>
          <w:p w14:paraId="561DC96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0.69</w:t>
            </w:r>
          </w:p>
        </w:tc>
      </w:tr>
      <w:tr w14:paraId="09B6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6288309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OE8</w:t>
            </w:r>
          </w:p>
        </w:tc>
        <w:tc>
          <w:tcPr>
            <w:tcW w:w="1531" w:type="dxa"/>
          </w:tcPr>
          <w:p w14:paraId="009EA9E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7A2D1F6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5CB440A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4.14</w:t>
            </w:r>
          </w:p>
        </w:tc>
        <w:tc>
          <w:tcPr>
            <w:tcW w:w="1531" w:type="dxa"/>
          </w:tcPr>
          <w:p w14:paraId="7C961EF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0.86</w:t>
            </w:r>
          </w:p>
        </w:tc>
      </w:tr>
      <w:tr w14:paraId="3DF3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2F66E28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OE9</w:t>
            </w:r>
          </w:p>
        </w:tc>
        <w:tc>
          <w:tcPr>
            <w:tcW w:w="1531" w:type="dxa"/>
          </w:tcPr>
          <w:p w14:paraId="304D8F8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3F98D49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D2CD94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4.30</w:t>
            </w:r>
          </w:p>
        </w:tc>
        <w:tc>
          <w:tcPr>
            <w:tcW w:w="1531" w:type="dxa"/>
          </w:tcPr>
          <w:p w14:paraId="7E25E8C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0.76</w:t>
            </w:r>
          </w:p>
        </w:tc>
      </w:tr>
      <w:tr w14:paraId="18CF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2480C1E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OE10</w:t>
            </w:r>
          </w:p>
        </w:tc>
        <w:tc>
          <w:tcPr>
            <w:tcW w:w="1531" w:type="dxa"/>
          </w:tcPr>
          <w:p w14:paraId="1C11E0F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158B81D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4EEC42E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4.14</w:t>
            </w:r>
          </w:p>
        </w:tc>
        <w:tc>
          <w:tcPr>
            <w:tcW w:w="1531" w:type="dxa"/>
          </w:tcPr>
          <w:p w14:paraId="17A7548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0.86</w:t>
            </w:r>
          </w:p>
        </w:tc>
      </w:tr>
      <w:tr w14:paraId="6D46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61E4F43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OE11</w:t>
            </w:r>
          </w:p>
        </w:tc>
        <w:tc>
          <w:tcPr>
            <w:tcW w:w="1531" w:type="dxa"/>
          </w:tcPr>
          <w:p w14:paraId="6306BF8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531" w:type="dxa"/>
          </w:tcPr>
          <w:p w14:paraId="2C7A874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7A58F44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4.24</w:t>
            </w:r>
          </w:p>
        </w:tc>
        <w:tc>
          <w:tcPr>
            <w:tcW w:w="1531" w:type="dxa"/>
          </w:tcPr>
          <w:p w14:paraId="2F6E797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0.72</w:t>
            </w:r>
          </w:p>
        </w:tc>
      </w:tr>
      <w:tr w14:paraId="06DA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5B6D397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OE12</w:t>
            </w:r>
          </w:p>
        </w:tc>
        <w:tc>
          <w:tcPr>
            <w:tcW w:w="1531" w:type="dxa"/>
          </w:tcPr>
          <w:p w14:paraId="7CAE7C3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12503C8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17F6D99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4.24</w:t>
            </w:r>
          </w:p>
        </w:tc>
        <w:tc>
          <w:tcPr>
            <w:tcW w:w="1531" w:type="dxa"/>
          </w:tcPr>
          <w:p w14:paraId="72BA66C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0.87</w:t>
            </w:r>
          </w:p>
        </w:tc>
      </w:tr>
      <w:tr w14:paraId="1B4E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46EF2C7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OE13</w:t>
            </w:r>
          </w:p>
        </w:tc>
        <w:tc>
          <w:tcPr>
            <w:tcW w:w="1531" w:type="dxa"/>
          </w:tcPr>
          <w:p w14:paraId="5D13E28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531" w:type="dxa"/>
          </w:tcPr>
          <w:p w14:paraId="076AB9C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17C28E8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4.32</w:t>
            </w:r>
          </w:p>
        </w:tc>
        <w:tc>
          <w:tcPr>
            <w:tcW w:w="1531" w:type="dxa"/>
          </w:tcPr>
          <w:p w14:paraId="4F51892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0.68</w:t>
            </w:r>
          </w:p>
        </w:tc>
      </w:tr>
      <w:tr w14:paraId="0B3E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3483898F">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OE14</w:t>
            </w:r>
          </w:p>
        </w:tc>
        <w:tc>
          <w:tcPr>
            <w:tcW w:w="1531" w:type="dxa"/>
          </w:tcPr>
          <w:p w14:paraId="038B1BD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531" w:type="dxa"/>
          </w:tcPr>
          <w:p w14:paraId="73F8568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301EC29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4.22</w:t>
            </w:r>
          </w:p>
        </w:tc>
        <w:tc>
          <w:tcPr>
            <w:tcW w:w="1531" w:type="dxa"/>
          </w:tcPr>
          <w:p w14:paraId="07A523B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0.74</w:t>
            </w:r>
          </w:p>
        </w:tc>
      </w:tr>
      <w:tr w14:paraId="3EA4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1AB5248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OE15</w:t>
            </w:r>
          </w:p>
        </w:tc>
        <w:tc>
          <w:tcPr>
            <w:tcW w:w="1531" w:type="dxa"/>
          </w:tcPr>
          <w:p w14:paraId="02416C5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3.0</w:t>
            </w:r>
          </w:p>
        </w:tc>
        <w:tc>
          <w:tcPr>
            <w:tcW w:w="1531" w:type="dxa"/>
          </w:tcPr>
          <w:p w14:paraId="3DE62DC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1322A24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4.28</w:t>
            </w:r>
          </w:p>
        </w:tc>
        <w:tc>
          <w:tcPr>
            <w:tcW w:w="1531" w:type="dxa"/>
          </w:tcPr>
          <w:p w14:paraId="3751B28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0.76</w:t>
            </w:r>
          </w:p>
        </w:tc>
      </w:tr>
      <w:tr w14:paraId="7806E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1912212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OE16</w:t>
            </w:r>
          </w:p>
        </w:tc>
        <w:tc>
          <w:tcPr>
            <w:tcW w:w="1531" w:type="dxa"/>
          </w:tcPr>
          <w:p w14:paraId="4B9737E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1.0</w:t>
            </w:r>
          </w:p>
        </w:tc>
        <w:tc>
          <w:tcPr>
            <w:tcW w:w="1531" w:type="dxa"/>
          </w:tcPr>
          <w:p w14:paraId="0DA9D77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6FD91F6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4.12</w:t>
            </w:r>
          </w:p>
        </w:tc>
        <w:tc>
          <w:tcPr>
            <w:tcW w:w="1531" w:type="dxa"/>
          </w:tcPr>
          <w:p w14:paraId="2445F3A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0.82</w:t>
            </w:r>
          </w:p>
        </w:tc>
      </w:tr>
      <w:tr w14:paraId="22D9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531" w:type="dxa"/>
          </w:tcPr>
          <w:p w14:paraId="07856179">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OE17</w:t>
            </w:r>
          </w:p>
        </w:tc>
        <w:tc>
          <w:tcPr>
            <w:tcW w:w="1531" w:type="dxa"/>
          </w:tcPr>
          <w:p w14:paraId="5F7F479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2.0</w:t>
            </w:r>
          </w:p>
        </w:tc>
        <w:tc>
          <w:tcPr>
            <w:tcW w:w="1531" w:type="dxa"/>
          </w:tcPr>
          <w:p w14:paraId="4462122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5.0</w:t>
            </w:r>
          </w:p>
        </w:tc>
        <w:tc>
          <w:tcPr>
            <w:tcW w:w="1531" w:type="dxa"/>
          </w:tcPr>
          <w:p w14:paraId="251FEB3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4.36</w:t>
            </w:r>
          </w:p>
        </w:tc>
        <w:tc>
          <w:tcPr>
            <w:tcW w:w="1531" w:type="dxa"/>
          </w:tcPr>
          <w:p w14:paraId="3F8CED9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0.78</w:t>
            </w:r>
          </w:p>
        </w:tc>
      </w:tr>
    </w:tbl>
    <w:p w14:paraId="76C383AB">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p>
    <w:p w14:paraId="011DE2CB">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Response for organisational effectiveness has an overall mean of 4.22 and SD 0.61. As per the scores, achievement of goals, productivity, financial performance and stakeholder satisfaction are seen to be more effective. OE17 has the highest mean of 4.36 while OE1 recorded the lowest of 4.02.</w:t>
      </w:r>
    </w:p>
    <w:p w14:paraId="2872BF58">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p>
    <w:p w14:paraId="1ED6D460">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Inferential statistics </w:t>
      </w:r>
    </w:p>
    <w:p w14:paraId="6ACF75CE">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According to Saunders et al. (2019), the use of inferential statistics is to determine the relationship between and among variables. Zikmund (2010) states that it draws generalised conclusions from the sample to the population. Pearson correlation coefficients and hierarchical regression analysis which are types of inferential statistics, were used to examine the relationship between corporate governance, risk management, fraud prevention and organisational effectiveness</w:t>
      </w:r>
    </w:p>
    <w:p w14:paraId="1FF5D172">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p>
    <w:p w14:paraId="7AC47D2A">
      <w:pPr>
        <w:widowControl/>
        <w:suppressAutoHyphens/>
        <w:bidi w:val="0"/>
        <w:spacing w:before="0" w:beforeAutospacing="0" w:after="0" w:afterAutospacing="0" w:line="480" w:lineRule="auto"/>
        <w:ind w:firstLine="72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 xml:space="preserve">Pearson correlation coefficient analysis </w:t>
      </w:r>
    </w:p>
    <w:p w14:paraId="4BC3AA9A">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The study conducted Pearson correlation analysis to examine the relationships between the four variables before hypothesis testing, with the results in table 10. Corporate governance correlated weak and positively with fraud prevention (r = 0.304, p = 0.032), while risk management showed a very weak, non-significant, positive correlation with fraud prevention (r = 0.147, p = 0.308). Fraud prevention itself correlated very weak with organisational effectiveness, and this relationship was not statistically significant (r = 0.127, p = 0.379).</w:t>
      </w:r>
    </w:p>
    <w:p w14:paraId="23F363AD">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p>
    <w:p w14:paraId="33F11675">
      <w:pPr>
        <w:widowControl/>
        <w:suppressAutoHyphens/>
        <w:bidi w:val="0"/>
        <w:spacing w:before="0" w:beforeAutospacing="0" w:after="0" w:afterAutospacing="0" w:line="480" w:lineRule="auto"/>
        <w:ind w:firstLine="72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Table 10: Pearson correlation of corporate governance, risk management, fraud prevention and organisational effectiveness </w:t>
      </w:r>
    </w:p>
    <w:tbl>
      <w:tblPr>
        <w:tblStyle w:val="12"/>
        <w:tblW w:w="0" w:type="auto"/>
        <w:tblInd w:w="0" w:type="dxa"/>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Layout w:type="autofit"/>
        <w:tblCellMar>
          <w:top w:w="0" w:type="dxa"/>
          <w:left w:w="108" w:type="dxa"/>
          <w:bottom w:w="0" w:type="dxa"/>
          <w:right w:w="108" w:type="dxa"/>
        </w:tblCellMar>
      </w:tblPr>
      <w:tblGrid>
        <w:gridCol w:w="750"/>
        <w:gridCol w:w="3118"/>
        <w:gridCol w:w="1134"/>
        <w:gridCol w:w="1134"/>
        <w:gridCol w:w="1134"/>
        <w:gridCol w:w="1084"/>
      </w:tblGrid>
      <w:tr w14:paraId="27E24940">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733" w:type="dxa"/>
            <w:tcBorders>
              <w:top w:val="single" w:color="auto" w:sz="4" w:space="0"/>
              <w:bottom w:val="single" w:color="auto" w:sz="4" w:space="0"/>
            </w:tcBorders>
          </w:tcPr>
          <w:p w14:paraId="1DDD1D44">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Code </w:t>
            </w:r>
          </w:p>
        </w:tc>
        <w:tc>
          <w:tcPr>
            <w:tcW w:w="3118" w:type="dxa"/>
            <w:tcBorders>
              <w:top w:val="single" w:color="auto" w:sz="4" w:space="0"/>
              <w:bottom w:val="single" w:color="auto" w:sz="4" w:space="0"/>
            </w:tcBorders>
          </w:tcPr>
          <w:p w14:paraId="3C447F16">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 xml:space="preserve">Variable </w:t>
            </w:r>
          </w:p>
        </w:tc>
        <w:tc>
          <w:tcPr>
            <w:tcW w:w="1134" w:type="dxa"/>
            <w:tcBorders>
              <w:top w:val="single" w:color="auto" w:sz="4" w:space="0"/>
              <w:bottom w:val="single" w:color="auto" w:sz="4" w:space="0"/>
            </w:tcBorders>
          </w:tcPr>
          <w:p w14:paraId="236DD5A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w:t>
            </w:r>
          </w:p>
        </w:tc>
        <w:tc>
          <w:tcPr>
            <w:tcW w:w="1134" w:type="dxa"/>
            <w:tcBorders>
              <w:top w:val="single" w:color="auto" w:sz="4" w:space="0"/>
              <w:bottom w:val="single" w:color="auto" w:sz="4" w:space="0"/>
            </w:tcBorders>
          </w:tcPr>
          <w:p w14:paraId="3B6050CA">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w:t>
            </w:r>
          </w:p>
        </w:tc>
        <w:tc>
          <w:tcPr>
            <w:tcW w:w="1134" w:type="dxa"/>
            <w:tcBorders>
              <w:top w:val="single" w:color="auto" w:sz="4" w:space="0"/>
              <w:bottom w:val="single" w:color="auto" w:sz="4" w:space="0"/>
            </w:tcBorders>
          </w:tcPr>
          <w:p w14:paraId="7EE1A09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w:t>
            </w:r>
          </w:p>
        </w:tc>
        <w:tc>
          <w:tcPr>
            <w:tcW w:w="1084" w:type="dxa"/>
            <w:tcBorders>
              <w:top w:val="single" w:color="auto" w:sz="4" w:space="0"/>
              <w:bottom w:val="single" w:color="auto" w:sz="4" w:space="0"/>
            </w:tcBorders>
          </w:tcPr>
          <w:p w14:paraId="1AAFA1C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w:t>
            </w:r>
          </w:p>
        </w:tc>
      </w:tr>
      <w:tr w14:paraId="2A963FF6">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733" w:type="dxa"/>
            <w:tcBorders>
              <w:top w:val="single" w:color="auto" w:sz="4" w:space="0"/>
            </w:tcBorders>
          </w:tcPr>
          <w:p w14:paraId="3DBC24A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CG</w:t>
            </w:r>
          </w:p>
        </w:tc>
        <w:tc>
          <w:tcPr>
            <w:tcW w:w="3118" w:type="dxa"/>
            <w:tcBorders>
              <w:top w:val="single" w:color="auto" w:sz="4" w:space="0"/>
            </w:tcBorders>
          </w:tcPr>
          <w:p w14:paraId="2BF0EA1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 xml:space="preserve">Corporate governance </w:t>
            </w:r>
          </w:p>
        </w:tc>
        <w:tc>
          <w:tcPr>
            <w:tcW w:w="1134" w:type="dxa"/>
            <w:tcBorders>
              <w:top w:val="single" w:color="auto" w:sz="4" w:space="0"/>
            </w:tcBorders>
          </w:tcPr>
          <w:p w14:paraId="1A1E903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w:t>
            </w:r>
          </w:p>
        </w:tc>
        <w:tc>
          <w:tcPr>
            <w:tcW w:w="1134" w:type="dxa"/>
            <w:tcBorders>
              <w:top w:val="single" w:color="auto" w:sz="4" w:space="0"/>
            </w:tcBorders>
          </w:tcPr>
          <w:p w14:paraId="3E105EE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c>
          <w:tcPr>
            <w:tcW w:w="1134" w:type="dxa"/>
            <w:tcBorders>
              <w:top w:val="single" w:color="auto" w:sz="4" w:space="0"/>
            </w:tcBorders>
          </w:tcPr>
          <w:p w14:paraId="57DAB972">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c>
          <w:tcPr>
            <w:tcW w:w="1084" w:type="dxa"/>
            <w:tcBorders>
              <w:top w:val="single" w:color="auto" w:sz="4" w:space="0"/>
            </w:tcBorders>
          </w:tcPr>
          <w:p w14:paraId="48E4C633">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r>
      <w:tr w14:paraId="71834301">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733" w:type="dxa"/>
          </w:tcPr>
          <w:p w14:paraId="7BC972B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RM</w:t>
            </w:r>
          </w:p>
        </w:tc>
        <w:tc>
          <w:tcPr>
            <w:tcW w:w="3118" w:type="dxa"/>
          </w:tcPr>
          <w:p w14:paraId="02BBD50D">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Risk management</w:t>
            </w:r>
          </w:p>
        </w:tc>
        <w:tc>
          <w:tcPr>
            <w:tcW w:w="1134" w:type="dxa"/>
          </w:tcPr>
          <w:p w14:paraId="568967C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0.871**</w:t>
            </w:r>
          </w:p>
        </w:tc>
        <w:tc>
          <w:tcPr>
            <w:tcW w:w="1134" w:type="dxa"/>
          </w:tcPr>
          <w:p w14:paraId="4EB347A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w:t>
            </w:r>
          </w:p>
        </w:tc>
        <w:tc>
          <w:tcPr>
            <w:tcW w:w="1134" w:type="dxa"/>
          </w:tcPr>
          <w:p w14:paraId="6CA64FE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c>
          <w:tcPr>
            <w:tcW w:w="1084" w:type="dxa"/>
          </w:tcPr>
          <w:p w14:paraId="3B85F477">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r>
      <w:tr w14:paraId="36D5197A">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733" w:type="dxa"/>
            <w:tcBorders>
              <w:bottom w:val="single" w:color="BEBEBE" w:sz="4" w:space="0"/>
            </w:tcBorders>
          </w:tcPr>
          <w:p w14:paraId="7390708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FP</w:t>
            </w:r>
          </w:p>
        </w:tc>
        <w:tc>
          <w:tcPr>
            <w:tcW w:w="3118" w:type="dxa"/>
            <w:tcBorders>
              <w:bottom w:val="single" w:color="BEBEBE" w:sz="4" w:space="0"/>
            </w:tcBorders>
          </w:tcPr>
          <w:p w14:paraId="71FE80BE">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 xml:space="preserve">Fraud prevention </w:t>
            </w:r>
          </w:p>
        </w:tc>
        <w:tc>
          <w:tcPr>
            <w:tcW w:w="1134" w:type="dxa"/>
            <w:tcBorders>
              <w:bottom w:val="single" w:color="BEBEBE" w:sz="4" w:space="0"/>
            </w:tcBorders>
          </w:tcPr>
          <w:p w14:paraId="1E3A262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0.304*</w:t>
            </w:r>
          </w:p>
        </w:tc>
        <w:tc>
          <w:tcPr>
            <w:tcW w:w="1134" w:type="dxa"/>
            <w:tcBorders>
              <w:bottom w:val="single" w:color="BEBEBE" w:sz="4" w:space="0"/>
            </w:tcBorders>
          </w:tcPr>
          <w:p w14:paraId="598A729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0.147</w:t>
            </w:r>
          </w:p>
        </w:tc>
        <w:tc>
          <w:tcPr>
            <w:tcW w:w="1134" w:type="dxa"/>
            <w:tcBorders>
              <w:bottom w:val="single" w:color="BEBEBE" w:sz="4" w:space="0"/>
            </w:tcBorders>
          </w:tcPr>
          <w:p w14:paraId="6EFCE131">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w:t>
            </w:r>
          </w:p>
        </w:tc>
        <w:tc>
          <w:tcPr>
            <w:tcW w:w="1084" w:type="dxa"/>
            <w:tcBorders>
              <w:bottom w:val="single" w:color="BEBEBE" w:sz="4" w:space="0"/>
            </w:tcBorders>
          </w:tcPr>
          <w:p w14:paraId="77B2B53C">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p>
        </w:tc>
      </w:tr>
      <w:tr w14:paraId="69B325BB">
        <w:tblPrEx>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108" w:type="dxa"/>
            <w:bottom w:w="0" w:type="dxa"/>
            <w:right w:w="108" w:type="dxa"/>
          </w:tblCellMar>
        </w:tblPrEx>
        <w:tc>
          <w:tcPr>
            <w:tcW w:w="733" w:type="dxa"/>
            <w:tcBorders>
              <w:bottom w:val="single" w:color="auto" w:sz="4" w:space="0"/>
            </w:tcBorders>
          </w:tcPr>
          <w:p w14:paraId="309A7D48">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b/>
                <w:bCs/>
                <w:color w:val="auto"/>
                <w:kern w:val="0"/>
                <w:sz w:val="24"/>
                <w:szCs w:val="24"/>
                <w:lang w:val="en-US"/>
                <w14:ligatures w14:val="none"/>
              </w:rPr>
            </w:pPr>
            <w:r>
              <w:rPr>
                <w:rFonts w:ascii="Times New Roman" w:hAnsi="Times New Roman" w:eastAsia="Times New Roman" w:cs="Times New Roman"/>
                <w:b/>
                <w:bCs/>
                <w:color w:val="auto"/>
                <w:kern w:val="0"/>
                <w:sz w:val="24"/>
                <w:szCs w:val="24"/>
                <w:lang w:val="en-US"/>
                <w14:ligatures w14:val="none"/>
              </w:rPr>
              <w:t>OE</w:t>
            </w:r>
          </w:p>
        </w:tc>
        <w:tc>
          <w:tcPr>
            <w:tcW w:w="3118" w:type="dxa"/>
            <w:tcBorders>
              <w:bottom w:val="single" w:color="auto" w:sz="4" w:space="0"/>
            </w:tcBorders>
          </w:tcPr>
          <w:p w14:paraId="0D7ADE3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 xml:space="preserve">Organisational effectiveness </w:t>
            </w:r>
          </w:p>
        </w:tc>
        <w:tc>
          <w:tcPr>
            <w:tcW w:w="1134" w:type="dxa"/>
            <w:tcBorders>
              <w:bottom w:val="single" w:color="auto" w:sz="4" w:space="0"/>
            </w:tcBorders>
          </w:tcPr>
          <w:p w14:paraId="35231755">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0.799**</w:t>
            </w:r>
          </w:p>
        </w:tc>
        <w:tc>
          <w:tcPr>
            <w:tcW w:w="1134" w:type="dxa"/>
            <w:tcBorders>
              <w:bottom w:val="single" w:color="auto" w:sz="4" w:space="0"/>
            </w:tcBorders>
          </w:tcPr>
          <w:p w14:paraId="1AC2E28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0.752**</w:t>
            </w:r>
          </w:p>
        </w:tc>
        <w:tc>
          <w:tcPr>
            <w:tcW w:w="1134" w:type="dxa"/>
            <w:tcBorders>
              <w:bottom w:val="single" w:color="auto" w:sz="4" w:space="0"/>
            </w:tcBorders>
          </w:tcPr>
          <w:p w14:paraId="6702B4C0">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0.127</w:t>
            </w:r>
          </w:p>
        </w:tc>
        <w:tc>
          <w:tcPr>
            <w:tcW w:w="1084" w:type="dxa"/>
            <w:tcBorders>
              <w:bottom w:val="single" w:color="auto" w:sz="4" w:space="0"/>
            </w:tcBorders>
          </w:tcPr>
          <w:p w14:paraId="1EB9B15B">
            <w:pPr>
              <w:widowControl/>
              <w:suppressAutoHyphens/>
              <w:bidi w:val="0"/>
              <w:spacing w:before="0" w:beforeAutospacing="0" w:after="0" w:afterAutospacing="0" w:line="480" w:lineRule="auto"/>
              <w:ind w:left="0" w:firstLine="0"/>
              <w:jc w:val="both"/>
              <w:rPr>
                <w:rFonts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1</w:t>
            </w:r>
          </w:p>
        </w:tc>
      </w:tr>
      <w:bookmarkEnd w:id="85"/>
    </w:tbl>
    <w:p w14:paraId="7ADFC554">
      <w:pPr>
        <w:widowControl/>
        <w:suppressAutoHyphens/>
        <w:bidi w:val="0"/>
        <w:spacing w:before="120" w:after="120" w:line="480" w:lineRule="auto"/>
        <w:ind w:left="0" w:leftChars="0" w:firstLine="0" w:firstLineChars="0"/>
        <w:jc w:val="both"/>
        <w:rPr>
          <w:rFonts w:ascii="Times New Roman" w:hAnsi="Times New Roman" w:eastAsia="Times New Roman" w:cs="Times New Roman"/>
          <w:color w:val="auto"/>
          <w:kern w:val="0"/>
          <w:lang w:val="en-US"/>
          <w14:ligatures w14:val="none"/>
        </w:rPr>
      </w:pPr>
      <w:bookmarkStart w:id="86" w:name="_Toc112693658"/>
      <w:bookmarkStart w:id="87" w:name="_Toc112686810"/>
    </w:p>
    <w:p w14:paraId="47461090">
      <w:pPr>
        <w:widowControl/>
        <w:suppressAutoHyphens/>
        <w:bidi w:val="0"/>
        <w:spacing w:before="0" w:after="80" w:line="480" w:lineRule="auto"/>
        <w:ind w:firstLine="720"/>
        <w:jc w:val="both"/>
        <w:outlineLvl w:val="2"/>
        <w:rPr>
          <w:rFonts w:ascii="Times New Roman" w:hAnsi="Times New Roman" w:eastAsia="Times New Roman" w:cs="Times New Roman"/>
          <w:b/>
          <w:bCs/>
          <w:i/>
          <w:iCs/>
          <w:color w:val="000000"/>
          <w:kern w:val="0"/>
          <w:sz w:val="24"/>
          <w:szCs w:val="24"/>
          <w:lang w:val="en-US" w:eastAsia="en-US" w:bidi="ar-SA"/>
          <w14:ligatures w14:val="none"/>
        </w:rPr>
      </w:pPr>
      <w:r>
        <w:rPr>
          <w:rFonts w:ascii="Times New Roman" w:hAnsi="Times New Roman" w:eastAsia="Times New Roman" w:cs="Times New Roman"/>
          <w:b/>
          <w:bCs/>
          <w:i/>
          <w:iCs/>
          <w:color w:val="auto"/>
          <w:kern w:val="0"/>
          <w:sz w:val="24"/>
          <w:szCs w:val="24"/>
          <w:lang w:val="en-US" w:eastAsia="en-US" w:bidi="ar-SA"/>
          <w14:ligatures w14:val="none"/>
        </w:rPr>
        <w:t>Hierarchical</w:t>
      </w:r>
      <w:r>
        <w:rPr>
          <w:rFonts w:hint="default" w:ascii="Times New Roman" w:hAnsi="Times New Roman" w:eastAsia="Times New Roman" w:cs="Times New Roman"/>
          <w:b/>
          <w:bCs/>
          <w:i/>
          <w:iCs/>
          <w:color w:val="auto"/>
          <w:kern w:val="0"/>
          <w:sz w:val="24"/>
          <w:szCs w:val="24"/>
          <w:lang w:val="en-US" w:eastAsia="en-US" w:bidi="ar-SA"/>
          <w14:ligatures w14:val="none"/>
        </w:rPr>
        <w:t xml:space="preserve"> </w:t>
      </w:r>
      <w:r>
        <w:rPr>
          <w:rFonts w:ascii="Times New Roman" w:hAnsi="Times New Roman" w:eastAsia="Times New Roman" w:cs="Times New Roman"/>
          <w:b/>
          <w:bCs/>
          <w:i/>
          <w:iCs/>
          <w:color w:val="auto"/>
          <w:kern w:val="0"/>
          <w:sz w:val="24"/>
          <w:szCs w:val="24"/>
          <w:lang w:val="en-US" w:eastAsia="en-US" w:bidi="ar-SA"/>
          <w14:ligatures w14:val="none"/>
        </w:rPr>
        <w:t>regression analysis</w:t>
      </w:r>
      <w:bookmarkEnd w:id="86"/>
      <w:bookmarkEnd w:id="87"/>
      <w:r>
        <w:rPr>
          <w:rFonts w:ascii="Times New Roman" w:hAnsi="Times New Roman" w:eastAsia="Times New Roman" w:cs="Times New Roman"/>
          <w:b/>
          <w:bCs/>
          <w:i/>
          <w:iCs/>
          <w:color w:val="auto"/>
          <w:kern w:val="0"/>
          <w:sz w:val="24"/>
          <w:szCs w:val="24"/>
          <w:lang w:val="en-US" w:eastAsia="en-US" w:bidi="ar-SA"/>
          <w14:ligatures w14:val="none"/>
        </w:rPr>
        <w:t xml:space="preserve"> </w:t>
      </w:r>
    </w:p>
    <w:p w14:paraId="43F5027B">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C</w:t>
      </w:r>
      <w:r>
        <w:rPr>
          <w:rFonts w:ascii="Times New Roman" w:hAnsi="Times New Roman" w:eastAsia="Times New Roman" w:cs="Times New Roman"/>
          <w:color w:val="auto"/>
          <w:kern w:val="0"/>
          <w:sz w:val="24"/>
          <w:szCs w:val="24"/>
          <w:lang w:val="en-US"/>
          <w14:ligatures w14:val="none"/>
        </w:rPr>
        <w:t>orporate</w:t>
      </w:r>
      <w:r>
        <w:rPr>
          <w:rFonts w:ascii="Times New Roman" w:hAnsi="Times New Roman" w:eastAsia="Times New Roman" w:cs="Times New Roman"/>
          <w:color w:val="auto"/>
          <w:kern w:val="0"/>
          <w:sz w:val="24"/>
          <w:szCs w:val="24"/>
          <w:lang w:val="zh-CN"/>
          <w14:ligatures w14:val="none"/>
        </w:rPr>
        <w:t xml:space="preserve"> governance had a significant positive effect on organisational effectiveness (β = 0.684, p &lt; .001).This support Hypothesis 1 (H1) which states that corporate governance practices have a significant positive effect on organisational effectiveness in Ghanaian firms. Risk management had a significant positive effect on organisational effectiveness (β = 0.678, p &lt; .001), supporting H2. Fraud prevention and corporate governance had a significant positive effect (β = 0.731, t = 2.667, p = 0.011), therefore support H3. In contrast, risk management displayed a negative and non-significant effect on fraud prevention when corporate governance was controlled for (β = -0.490, t = -1.787, p = 0.080), and therefore H4 was not supported. Th</w:t>
      </w:r>
      <w:r>
        <w:rPr>
          <w:rFonts w:hint="default" w:ascii="Times New Roman" w:hAnsi="Times New Roman" w:eastAsia="Times New Roman" w:cs="Times New Roman"/>
          <w:color w:val="auto"/>
          <w:kern w:val="0"/>
          <w:sz w:val="24"/>
          <w:szCs w:val="24"/>
          <w:lang w:val="en-US"/>
          <w14:ligatures w14:val="none"/>
        </w:rPr>
        <w:t>is</w:t>
      </w:r>
      <w:r>
        <w:rPr>
          <w:rFonts w:ascii="Times New Roman" w:hAnsi="Times New Roman" w:eastAsia="Times New Roman" w:cs="Times New Roman"/>
          <w:color w:val="auto"/>
          <w:kern w:val="0"/>
          <w:sz w:val="24"/>
          <w:szCs w:val="24"/>
          <w:lang w:val="zh-CN"/>
          <w14:ligatures w14:val="none"/>
        </w:rPr>
        <w:t xml:space="preserve"> negative coefficient is likely attribut</w:t>
      </w:r>
      <w:r>
        <w:rPr>
          <w:rFonts w:hint="default" w:ascii="Times New Roman" w:hAnsi="Times New Roman" w:eastAsia="Times New Roman" w:cs="Times New Roman"/>
          <w:color w:val="auto"/>
          <w:kern w:val="0"/>
          <w:sz w:val="24"/>
          <w:szCs w:val="24"/>
          <w:lang w:val="en-US"/>
          <w14:ligatures w14:val="none"/>
        </w:rPr>
        <w:t>ed</w:t>
      </w:r>
      <w:r>
        <w:rPr>
          <w:rFonts w:ascii="Times New Roman" w:hAnsi="Times New Roman" w:eastAsia="Times New Roman" w:cs="Times New Roman"/>
          <w:color w:val="auto"/>
          <w:kern w:val="0"/>
          <w:sz w:val="24"/>
          <w:szCs w:val="24"/>
          <w:lang w:val="zh-CN"/>
          <w14:ligatures w14:val="none"/>
        </w:rPr>
        <w:t xml:space="preserve"> to multicollinearity between corporate governance and risk management, as </w:t>
      </w:r>
      <w:r>
        <w:rPr>
          <w:rFonts w:hint="default" w:ascii="Times New Roman" w:hAnsi="Times New Roman" w:eastAsia="Times New Roman" w:cs="Times New Roman"/>
          <w:color w:val="auto"/>
          <w:kern w:val="0"/>
          <w:sz w:val="24"/>
          <w:szCs w:val="24"/>
          <w:lang w:val="en-US"/>
          <w14:ligatures w14:val="none"/>
        </w:rPr>
        <w:t>shown</w:t>
      </w:r>
      <w:r>
        <w:rPr>
          <w:rFonts w:ascii="Times New Roman" w:hAnsi="Times New Roman" w:eastAsia="Times New Roman" w:cs="Times New Roman"/>
          <w:color w:val="auto"/>
          <w:kern w:val="0"/>
          <w:sz w:val="24"/>
          <w:szCs w:val="24"/>
          <w:lang w:val="zh-CN"/>
          <w14:ligatures w14:val="none"/>
        </w:rPr>
        <w:t xml:space="preserve"> in their strong positive </w:t>
      </w:r>
      <w:r>
        <w:rPr>
          <w:rFonts w:hint="default" w:ascii="Times New Roman" w:hAnsi="Times New Roman" w:eastAsia="Times New Roman" w:cs="Times New Roman"/>
          <w:color w:val="auto"/>
          <w:kern w:val="0"/>
          <w:sz w:val="24"/>
          <w:szCs w:val="24"/>
          <w:lang w:val="en-US"/>
          <w14:ligatures w14:val="none"/>
        </w:rPr>
        <w:t xml:space="preserve">simple correlation </w:t>
      </w:r>
      <w:r>
        <w:rPr>
          <w:rFonts w:ascii="Times New Roman" w:hAnsi="Times New Roman" w:eastAsia="Times New Roman" w:cs="Times New Roman"/>
          <w:color w:val="auto"/>
          <w:kern w:val="0"/>
          <w:sz w:val="24"/>
          <w:szCs w:val="24"/>
          <w:lang w:val="zh-CN"/>
          <w14:ligatures w14:val="none"/>
        </w:rPr>
        <w:t xml:space="preserve">in </w:t>
      </w:r>
      <w:r>
        <w:rPr>
          <w:rFonts w:hint="default" w:ascii="Times New Roman" w:hAnsi="Times New Roman" w:eastAsia="Times New Roman" w:cs="Times New Roman"/>
          <w:color w:val="auto"/>
          <w:kern w:val="0"/>
          <w:sz w:val="24"/>
          <w:szCs w:val="24"/>
          <w:lang w:val="en-US"/>
          <w14:ligatures w14:val="none"/>
        </w:rPr>
        <w:t>t</w:t>
      </w:r>
      <w:r>
        <w:rPr>
          <w:rFonts w:ascii="Times New Roman" w:hAnsi="Times New Roman" w:eastAsia="Times New Roman" w:cs="Times New Roman"/>
          <w:color w:val="auto"/>
          <w:kern w:val="0"/>
          <w:sz w:val="24"/>
          <w:szCs w:val="24"/>
          <w:lang w:val="zh-CN"/>
          <w14:ligatures w14:val="none"/>
        </w:rPr>
        <w:t>able</w:t>
      </w:r>
      <w:r>
        <w:rPr>
          <w:rFonts w:hint="default" w:ascii="Times New Roman" w:hAnsi="Times New Roman" w:eastAsia="Times New Roman" w:cs="Times New Roman"/>
          <w:color w:val="auto"/>
          <w:kern w:val="0"/>
          <w:sz w:val="24"/>
          <w:szCs w:val="24"/>
          <w:lang w:val="en-US"/>
          <w14:ligatures w14:val="none"/>
        </w:rPr>
        <w:t xml:space="preserve"> </w:t>
      </w:r>
      <w:r>
        <w:rPr>
          <w:rFonts w:ascii="Times New Roman" w:hAnsi="Times New Roman" w:eastAsia="Times New Roman" w:cs="Times New Roman"/>
          <w:color w:val="auto"/>
          <w:kern w:val="0"/>
          <w:sz w:val="24"/>
          <w:szCs w:val="24"/>
          <w:lang w:val="zh-CN"/>
          <w14:ligatures w14:val="none"/>
        </w:rPr>
        <w:t>10, ra</w:t>
      </w:r>
      <w:r>
        <w:rPr>
          <w:rFonts w:hint="default" w:ascii="Times New Roman" w:hAnsi="Times New Roman" w:eastAsia="Times New Roman" w:cs="Times New Roman"/>
          <w:color w:val="auto"/>
          <w:kern w:val="0"/>
          <w:sz w:val="24"/>
          <w:szCs w:val="24"/>
          <w:lang w:val="en-US"/>
          <w14:ligatures w14:val="none"/>
        </w:rPr>
        <w:t>t</w:t>
      </w:r>
      <w:r>
        <w:rPr>
          <w:rFonts w:ascii="Times New Roman" w:hAnsi="Times New Roman" w:eastAsia="Times New Roman" w:cs="Times New Roman"/>
          <w:color w:val="auto"/>
          <w:kern w:val="0"/>
          <w:sz w:val="24"/>
          <w:szCs w:val="24"/>
          <w:lang w:val="zh-CN"/>
          <w14:ligatures w14:val="none"/>
        </w:rPr>
        <w:t xml:space="preserve">her than indicating a genuine adverse effect. Furthermore, fraud prevention did not have a significant effect on organisational effectiveness (β = 0.127, t = 0.888, p = 0.379), and as such H5 was not supported. Collectively, corporate governance and risk management </w:t>
      </w:r>
      <w:r>
        <w:rPr>
          <w:rFonts w:hint="default" w:ascii="Times New Roman" w:hAnsi="Times New Roman" w:eastAsia="Times New Roman" w:cs="Times New Roman"/>
          <w:color w:val="auto"/>
          <w:kern w:val="0"/>
          <w:sz w:val="24"/>
          <w:szCs w:val="24"/>
          <w:lang w:val="en-US"/>
          <w14:ligatures w14:val="none"/>
        </w:rPr>
        <w:t>accounted for</w:t>
      </w:r>
      <w:r>
        <w:rPr>
          <w:rFonts w:ascii="Times New Roman" w:hAnsi="Times New Roman" w:eastAsia="Times New Roman" w:cs="Times New Roman"/>
          <w:color w:val="auto"/>
          <w:kern w:val="0"/>
          <w:sz w:val="24"/>
          <w:szCs w:val="24"/>
          <w:lang w:val="zh-CN"/>
          <w14:ligatures w14:val="none"/>
        </w:rPr>
        <w:t xml:space="preserve"> 15% of the variance in fraud prevention (R² = 0.150), while fraud prevention alone accounted for only 1.6% of the variance in organisational effectiveness (R² = 0.016).</w:t>
      </w:r>
    </w:p>
    <w:p w14:paraId="43E01988">
      <w:pPr>
        <w:widowControl/>
        <w:suppressAutoHyphens/>
        <w:bidi w:val="0"/>
        <w:spacing w:before="0" w:beforeAutospacing="0" w:after="0" w:afterAutospacing="0" w:line="480" w:lineRule="auto"/>
        <w:ind w:left="0" w:firstLine="720"/>
        <w:jc w:val="both"/>
        <w:rPr>
          <w:rFonts w:ascii="Times New Roman" w:hAnsi="Times New Roman" w:eastAsia="Times New Roman" w:cs="Times New Roman"/>
          <w:color w:val="auto"/>
          <w:kern w:val="0"/>
          <w:sz w:val="24"/>
          <w:szCs w:val="24"/>
          <w:lang w:val="en-US"/>
          <w14:ligatures w14:val="none"/>
        </w:rPr>
      </w:pPr>
    </w:p>
    <w:p w14:paraId="380F7565">
      <w:pPr>
        <w:widowControl/>
        <w:suppressAutoHyphens/>
        <w:bidi w:val="0"/>
        <w:spacing w:before="0" w:beforeAutospacing="0" w:after="0" w:afterAutospacing="0" w:line="480" w:lineRule="auto"/>
        <w:ind w:firstLine="720"/>
        <w:jc w:val="both"/>
        <w:rPr>
          <w:rFonts w:hint="default" w:ascii="Times New Roman" w:hAnsi="Times New Roman" w:eastAsia="Times New Roman" w:cs="Times New Roman"/>
          <w:b/>
          <w:bCs/>
          <w:color w:val="auto"/>
          <w:kern w:val="0"/>
          <w:sz w:val="24"/>
          <w:szCs w:val="24"/>
          <w:lang w:val="en-US"/>
          <w14:ligatures w14:val="none"/>
        </w:rPr>
      </w:pPr>
      <w:r>
        <w:rPr>
          <w:rFonts w:hint="default" w:ascii="Times New Roman" w:hAnsi="Times New Roman" w:eastAsia="Times New Roman" w:cs="Times New Roman"/>
          <w:b/>
          <w:bCs/>
          <w:color w:val="auto"/>
          <w:kern w:val="0"/>
          <w:sz w:val="24"/>
          <w:szCs w:val="24"/>
          <w:lang w:val="en-US"/>
          <w14:ligatures w14:val="none"/>
        </w:rPr>
        <w:t xml:space="preserve">Table 11: Regression analysis </w:t>
      </w:r>
      <w:r>
        <w:rPr>
          <w:rFonts w:ascii="Times New Roman" w:hAnsi="Times New Roman" w:eastAsia="Times New Roman" w:cs="Times New Roman"/>
          <w:b/>
          <w:bCs/>
          <w:color w:val="auto"/>
          <w:kern w:val="0"/>
          <w:sz w:val="24"/>
          <w:szCs w:val="24"/>
          <w:lang w:val="en-US"/>
          <w14:ligatures w14:val="none"/>
        </w:rPr>
        <w:t>of corporate governance, risk management, fraud prevention and organisational effectiveness</w:t>
      </w:r>
    </w:p>
    <w:bookmarkEnd w:id="84"/>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8"/>
        <w:gridCol w:w="1050"/>
        <w:gridCol w:w="1080"/>
        <w:gridCol w:w="1150"/>
        <w:gridCol w:w="1485"/>
        <w:gridCol w:w="1362"/>
        <w:gridCol w:w="1768"/>
      </w:tblGrid>
      <w:tr w14:paraId="358F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Borders>
              <w:top w:val="single" w:color="000000" w:sz="12" w:space="0"/>
              <w:left w:val="nil"/>
              <w:bottom w:val="single" w:color="auto" w:sz="4" w:space="0"/>
              <w:right w:val="nil"/>
              <w:tl2br w:val="nil"/>
            </w:tcBorders>
            <w:shd w:val="clear" w:color="auto" w:fill="FFFFFF"/>
          </w:tcPr>
          <w:p w14:paraId="00E3EF94">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bookmarkStart w:id="88" w:name="_Toc110000577"/>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Hypothesis</w:t>
            </w:r>
          </w:p>
        </w:tc>
        <w:tc>
          <w:tcPr>
            <w:tcW w:w="1050" w:type="dxa"/>
            <w:tcBorders>
              <w:top w:val="single" w:color="000000" w:sz="12" w:space="0"/>
              <w:left w:val="nil"/>
              <w:bottom w:val="single" w:color="auto" w:sz="4" w:space="0"/>
              <w:right w:val="nil"/>
            </w:tcBorders>
            <w:shd w:val="clear" w:color="auto" w:fill="FFFFFF"/>
          </w:tcPr>
          <w:p w14:paraId="1870EC19">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B</w:t>
            </w:r>
          </w:p>
        </w:tc>
        <w:tc>
          <w:tcPr>
            <w:tcW w:w="1080" w:type="dxa"/>
            <w:tcBorders>
              <w:top w:val="single" w:color="000000" w:sz="12" w:space="0"/>
              <w:left w:val="nil"/>
              <w:bottom w:val="single" w:color="auto" w:sz="4" w:space="0"/>
              <w:right w:val="nil"/>
            </w:tcBorders>
            <w:shd w:val="clear" w:color="auto" w:fill="FFFFFF"/>
          </w:tcPr>
          <w:p w14:paraId="772A178A">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SE</w:t>
            </w:r>
          </w:p>
        </w:tc>
        <w:tc>
          <w:tcPr>
            <w:tcW w:w="1150" w:type="dxa"/>
            <w:tcBorders>
              <w:top w:val="single" w:color="000000" w:sz="12" w:space="0"/>
              <w:left w:val="nil"/>
              <w:bottom w:val="single" w:color="auto" w:sz="4" w:space="0"/>
              <w:right w:val="nil"/>
            </w:tcBorders>
            <w:shd w:val="clear" w:color="auto" w:fill="FFFFFF"/>
          </w:tcPr>
          <w:p w14:paraId="63A054A8">
            <w:pPr>
              <w:widowControl/>
              <w:suppressLineNumbers/>
              <w:suppressAutoHyphens/>
              <w:bidi w:val="0"/>
              <w:spacing w:before="120" w:after="0" w:line="480" w:lineRule="auto"/>
              <w:ind w:firstLine="720"/>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t</w:t>
            </w:r>
          </w:p>
        </w:tc>
        <w:tc>
          <w:tcPr>
            <w:tcW w:w="1485" w:type="dxa"/>
            <w:tcBorders>
              <w:top w:val="single" w:color="000000" w:sz="12" w:space="0"/>
              <w:left w:val="nil"/>
              <w:bottom w:val="single" w:color="auto" w:sz="4" w:space="0"/>
              <w:right w:val="nil"/>
            </w:tcBorders>
            <w:shd w:val="clear" w:color="auto" w:fill="FFFFFF"/>
          </w:tcPr>
          <w:p w14:paraId="00184388">
            <w:pPr>
              <w:widowControl/>
              <w:suppressLineNumbers/>
              <w:suppressAutoHyphens/>
              <w:bidi w:val="0"/>
              <w:spacing w:before="120" w:after="0" w:line="480" w:lineRule="auto"/>
              <w:ind w:firstLine="720"/>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p</w:t>
            </w:r>
          </w:p>
        </w:tc>
        <w:tc>
          <w:tcPr>
            <w:tcW w:w="1362" w:type="dxa"/>
            <w:tcBorders>
              <w:top w:val="single" w:color="000000" w:sz="12" w:space="0"/>
              <w:left w:val="nil"/>
              <w:bottom w:val="single" w:color="auto" w:sz="4" w:space="0"/>
              <w:right w:val="nil"/>
            </w:tcBorders>
            <w:shd w:val="clear" w:color="auto" w:fill="FFFFFF"/>
          </w:tcPr>
          <w:p w14:paraId="04327C8E">
            <w:pPr>
              <w:widowControl/>
              <w:suppressLineNumbers/>
              <w:suppressAutoHyphens/>
              <w:bidi w:val="0"/>
              <w:spacing w:before="120" w:after="0" w:line="480" w:lineRule="auto"/>
              <w:ind w:firstLine="720"/>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ascii="Times New Roman" w:hAnsi="Times New Roman" w:eastAsia="Times New Roman" w:cs="Times New Roman"/>
                <w:color w:val="auto"/>
                <w:kern w:val="0"/>
                <w:sz w:val="24"/>
                <w:szCs w:val="24"/>
                <w:lang w:val="zh-CN"/>
                <w14:ligatures w14:val="none"/>
              </w:rPr>
              <w:t>R²</w:t>
            </w: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 xml:space="preserve"> </w:t>
            </w:r>
          </w:p>
        </w:tc>
        <w:tc>
          <w:tcPr>
            <w:tcW w:w="1768" w:type="dxa"/>
            <w:tcBorders>
              <w:top w:val="single" w:color="000000" w:sz="12" w:space="0"/>
              <w:left w:val="nil"/>
              <w:bottom w:val="single" w:color="auto" w:sz="4" w:space="0"/>
              <w:right w:val="nil"/>
            </w:tcBorders>
            <w:shd w:val="clear" w:color="auto" w:fill="FFFFFF"/>
          </w:tcPr>
          <w:p w14:paraId="5D977B57">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Decision</w:t>
            </w:r>
          </w:p>
        </w:tc>
      </w:tr>
      <w:tr w14:paraId="7914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Borders>
              <w:top w:val="single" w:color="auto" w:sz="4" w:space="0"/>
              <w:left w:val="nil"/>
              <w:bottom w:val="nil"/>
              <w:right w:val="nil"/>
            </w:tcBorders>
            <w:shd w:val="clear" w:color="auto" w:fill="FFFFFF"/>
          </w:tcPr>
          <w:p w14:paraId="2CA537AE">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H1</w:t>
            </w:r>
          </w:p>
        </w:tc>
        <w:tc>
          <w:tcPr>
            <w:tcW w:w="1050" w:type="dxa"/>
            <w:tcBorders>
              <w:top w:val="single" w:color="auto" w:sz="4" w:space="0"/>
              <w:left w:val="nil"/>
              <w:bottom w:val="nil"/>
              <w:right w:val="nil"/>
            </w:tcBorders>
            <w:shd w:val="clear" w:color="auto" w:fill="FFFFFF"/>
          </w:tcPr>
          <w:p w14:paraId="2956F4BA">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0.684</w:t>
            </w:r>
          </w:p>
        </w:tc>
        <w:tc>
          <w:tcPr>
            <w:tcW w:w="1080" w:type="dxa"/>
            <w:tcBorders>
              <w:top w:val="single" w:color="auto" w:sz="4" w:space="0"/>
              <w:left w:val="nil"/>
              <w:bottom w:val="nil"/>
              <w:right w:val="nil"/>
            </w:tcBorders>
            <w:shd w:val="clear" w:color="auto" w:fill="FFFFFF"/>
          </w:tcPr>
          <w:p w14:paraId="44A2F430">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0.074</w:t>
            </w:r>
          </w:p>
        </w:tc>
        <w:tc>
          <w:tcPr>
            <w:tcW w:w="1150" w:type="dxa"/>
            <w:tcBorders>
              <w:top w:val="single" w:color="auto" w:sz="4" w:space="0"/>
              <w:left w:val="nil"/>
              <w:bottom w:val="nil"/>
              <w:right w:val="nil"/>
            </w:tcBorders>
            <w:shd w:val="clear" w:color="auto" w:fill="FFFFFF"/>
          </w:tcPr>
          <w:p w14:paraId="249C4F98">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9.19</w:t>
            </w:r>
          </w:p>
        </w:tc>
        <w:tc>
          <w:tcPr>
            <w:tcW w:w="1485" w:type="dxa"/>
            <w:tcBorders>
              <w:top w:val="single" w:color="auto" w:sz="4" w:space="0"/>
              <w:left w:val="nil"/>
              <w:bottom w:val="nil"/>
              <w:right w:val="nil"/>
            </w:tcBorders>
            <w:shd w:val="clear" w:color="auto" w:fill="FFFFFF"/>
          </w:tcPr>
          <w:p w14:paraId="5B328D84">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&lt;0.001</w:t>
            </w:r>
          </w:p>
        </w:tc>
        <w:tc>
          <w:tcPr>
            <w:tcW w:w="1362" w:type="dxa"/>
            <w:tcBorders>
              <w:top w:val="single" w:color="auto" w:sz="4" w:space="0"/>
              <w:left w:val="nil"/>
              <w:bottom w:val="nil"/>
              <w:right w:val="nil"/>
            </w:tcBorders>
            <w:shd w:val="clear" w:color="auto" w:fill="FFFFFF"/>
          </w:tcPr>
          <w:p w14:paraId="008F8051">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0.638</w:t>
            </w:r>
          </w:p>
        </w:tc>
        <w:tc>
          <w:tcPr>
            <w:tcW w:w="1768" w:type="dxa"/>
            <w:tcBorders>
              <w:top w:val="single" w:color="auto" w:sz="4" w:space="0"/>
              <w:left w:val="nil"/>
              <w:bottom w:val="nil"/>
              <w:right w:val="nil"/>
            </w:tcBorders>
            <w:shd w:val="clear" w:color="auto" w:fill="FFFFFF"/>
          </w:tcPr>
          <w:p w14:paraId="1F43DFE7">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Supported</w:t>
            </w:r>
          </w:p>
        </w:tc>
      </w:tr>
      <w:tr w14:paraId="5593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Borders>
              <w:top w:val="nil"/>
              <w:left w:val="nil"/>
              <w:bottom w:val="nil"/>
              <w:right w:val="nil"/>
            </w:tcBorders>
            <w:shd w:val="clear" w:color="auto" w:fill="FFFFFF"/>
          </w:tcPr>
          <w:p w14:paraId="3ED06296">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H2</w:t>
            </w:r>
          </w:p>
        </w:tc>
        <w:tc>
          <w:tcPr>
            <w:tcW w:w="1050" w:type="dxa"/>
            <w:tcBorders>
              <w:top w:val="nil"/>
              <w:left w:val="nil"/>
              <w:bottom w:val="nil"/>
              <w:right w:val="nil"/>
            </w:tcBorders>
            <w:shd w:val="clear" w:color="auto" w:fill="FFFFFF"/>
          </w:tcPr>
          <w:p w14:paraId="04C33FFC">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0.678</w:t>
            </w:r>
          </w:p>
        </w:tc>
        <w:tc>
          <w:tcPr>
            <w:tcW w:w="1080" w:type="dxa"/>
            <w:tcBorders>
              <w:top w:val="nil"/>
              <w:left w:val="nil"/>
              <w:bottom w:val="nil"/>
              <w:right w:val="nil"/>
            </w:tcBorders>
            <w:shd w:val="clear" w:color="auto" w:fill="FFFFFF"/>
          </w:tcPr>
          <w:p w14:paraId="17257EC8">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0.086</w:t>
            </w:r>
          </w:p>
        </w:tc>
        <w:tc>
          <w:tcPr>
            <w:tcW w:w="1150" w:type="dxa"/>
            <w:tcBorders>
              <w:top w:val="nil"/>
              <w:left w:val="nil"/>
              <w:bottom w:val="nil"/>
              <w:right w:val="nil"/>
            </w:tcBorders>
            <w:shd w:val="clear" w:color="auto" w:fill="FFFFFF"/>
          </w:tcPr>
          <w:p w14:paraId="2662F91D">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7.912</w:t>
            </w:r>
          </w:p>
        </w:tc>
        <w:tc>
          <w:tcPr>
            <w:tcW w:w="1485" w:type="dxa"/>
            <w:tcBorders>
              <w:top w:val="nil"/>
              <w:left w:val="nil"/>
              <w:bottom w:val="nil"/>
              <w:right w:val="nil"/>
            </w:tcBorders>
            <w:shd w:val="clear" w:color="auto" w:fill="FFFFFF"/>
          </w:tcPr>
          <w:p w14:paraId="33A9FF7E">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&lt;0.001</w:t>
            </w:r>
          </w:p>
        </w:tc>
        <w:tc>
          <w:tcPr>
            <w:tcW w:w="1362" w:type="dxa"/>
            <w:tcBorders>
              <w:top w:val="nil"/>
              <w:left w:val="nil"/>
              <w:bottom w:val="nil"/>
              <w:right w:val="nil"/>
            </w:tcBorders>
            <w:shd w:val="clear" w:color="auto" w:fill="FFFFFF"/>
          </w:tcPr>
          <w:p w14:paraId="5A43C3BF">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0.566</w:t>
            </w:r>
          </w:p>
        </w:tc>
        <w:tc>
          <w:tcPr>
            <w:tcW w:w="1768" w:type="dxa"/>
            <w:tcBorders>
              <w:top w:val="nil"/>
              <w:left w:val="nil"/>
              <w:bottom w:val="nil"/>
              <w:right w:val="nil"/>
            </w:tcBorders>
            <w:shd w:val="clear" w:color="auto" w:fill="FFFFFF"/>
          </w:tcPr>
          <w:p w14:paraId="68680718">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Supported</w:t>
            </w:r>
          </w:p>
        </w:tc>
      </w:tr>
      <w:tr w14:paraId="43C80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Borders>
              <w:top w:val="nil"/>
              <w:left w:val="nil"/>
              <w:bottom w:val="nil"/>
              <w:right w:val="nil"/>
            </w:tcBorders>
            <w:shd w:val="clear" w:color="auto" w:fill="FFFFFF"/>
          </w:tcPr>
          <w:p w14:paraId="20F28126">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H3</w:t>
            </w:r>
          </w:p>
        </w:tc>
        <w:tc>
          <w:tcPr>
            <w:tcW w:w="1050" w:type="dxa"/>
            <w:tcBorders>
              <w:top w:val="nil"/>
              <w:left w:val="nil"/>
              <w:bottom w:val="nil"/>
              <w:right w:val="nil"/>
            </w:tcBorders>
            <w:shd w:val="clear" w:color="auto" w:fill="FFFFFF"/>
          </w:tcPr>
          <w:p w14:paraId="60594F94">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0.520</w:t>
            </w:r>
          </w:p>
        </w:tc>
        <w:tc>
          <w:tcPr>
            <w:tcW w:w="1080" w:type="dxa"/>
            <w:tcBorders>
              <w:top w:val="nil"/>
              <w:left w:val="nil"/>
              <w:bottom w:val="nil"/>
              <w:right w:val="nil"/>
            </w:tcBorders>
            <w:shd w:val="clear" w:color="auto" w:fill="FFFFFF"/>
          </w:tcPr>
          <w:p w14:paraId="65E98216">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0.195</w:t>
            </w:r>
          </w:p>
        </w:tc>
        <w:tc>
          <w:tcPr>
            <w:tcW w:w="1150" w:type="dxa"/>
            <w:tcBorders>
              <w:top w:val="nil"/>
              <w:left w:val="nil"/>
              <w:bottom w:val="nil"/>
              <w:right w:val="nil"/>
            </w:tcBorders>
            <w:shd w:val="clear" w:color="auto" w:fill="FFFFFF"/>
          </w:tcPr>
          <w:p w14:paraId="39083F16">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2.667</w:t>
            </w:r>
          </w:p>
        </w:tc>
        <w:tc>
          <w:tcPr>
            <w:tcW w:w="1485" w:type="dxa"/>
            <w:tcBorders>
              <w:top w:val="nil"/>
              <w:left w:val="nil"/>
              <w:bottom w:val="nil"/>
              <w:right w:val="nil"/>
            </w:tcBorders>
            <w:shd w:val="clear" w:color="auto" w:fill="FFFFFF"/>
          </w:tcPr>
          <w:p w14:paraId="37B67C6E">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0.011</w:t>
            </w:r>
          </w:p>
        </w:tc>
        <w:tc>
          <w:tcPr>
            <w:tcW w:w="1362" w:type="dxa"/>
            <w:tcBorders>
              <w:top w:val="nil"/>
              <w:left w:val="nil"/>
              <w:bottom w:val="nil"/>
              <w:right w:val="nil"/>
            </w:tcBorders>
            <w:shd w:val="clear" w:color="auto" w:fill="FFFFFF"/>
          </w:tcPr>
          <w:p w14:paraId="3C776661">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0.150</w:t>
            </w:r>
          </w:p>
        </w:tc>
        <w:tc>
          <w:tcPr>
            <w:tcW w:w="1768" w:type="dxa"/>
            <w:tcBorders>
              <w:top w:val="nil"/>
              <w:left w:val="nil"/>
              <w:bottom w:val="nil"/>
              <w:right w:val="nil"/>
            </w:tcBorders>
            <w:shd w:val="clear" w:color="auto" w:fill="FFFFFF"/>
          </w:tcPr>
          <w:p w14:paraId="45FBBFF7">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Supported</w:t>
            </w:r>
          </w:p>
        </w:tc>
      </w:tr>
      <w:tr w14:paraId="6EC6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Borders>
              <w:top w:val="nil"/>
              <w:left w:val="nil"/>
              <w:bottom w:val="nil"/>
              <w:right w:val="nil"/>
            </w:tcBorders>
            <w:shd w:val="clear" w:color="auto" w:fill="FFFFFF"/>
          </w:tcPr>
          <w:p w14:paraId="238BB3F5">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H4</w:t>
            </w:r>
          </w:p>
        </w:tc>
        <w:tc>
          <w:tcPr>
            <w:tcW w:w="1050" w:type="dxa"/>
            <w:tcBorders>
              <w:top w:val="nil"/>
              <w:left w:val="nil"/>
              <w:bottom w:val="nil"/>
              <w:right w:val="nil"/>
            </w:tcBorders>
            <w:shd w:val="clear" w:color="auto" w:fill="FFFFFF"/>
          </w:tcPr>
          <w:p w14:paraId="37AC2D11">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-0.367</w:t>
            </w:r>
          </w:p>
        </w:tc>
        <w:tc>
          <w:tcPr>
            <w:tcW w:w="1080" w:type="dxa"/>
            <w:tcBorders>
              <w:top w:val="nil"/>
              <w:left w:val="nil"/>
              <w:bottom w:val="nil"/>
              <w:right w:val="nil"/>
            </w:tcBorders>
            <w:shd w:val="clear" w:color="auto" w:fill="FFFFFF"/>
          </w:tcPr>
          <w:p w14:paraId="4F17C8ED">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0.205</w:t>
            </w:r>
          </w:p>
        </w:tc>
        <w:tc>
          <w:tcPr>
            <w:tcW w:w="1150" w:type="dxa"/>
            <w:tcBorders>
              <w:top w:val="nil"/>
              <w:left w:val="nil"/>
              <w:bottom w:val="nil"/>
              <w:right w:val="nil"/>
            </w:tcBorders>
            <w:shd w:val="clear" w:color="auto" w:fill="FFFFFF"/>
          </w:tcPr>
          <w:p w14:paraId="1406953F">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-1.787</w:t>
            </w:r>
          </w:p>
        </w:tc>
        <w:tc>
          <w:tcPr>
            <w:tcW w:w="1485" w:type="dxa"/>
            <w:tcBorders>
              <w:top w:val="nil"/>
              <w:left w:val="nil"/>
              <w:bottom w:val="nil"/>
              <w:right w:val="nil"/>
            </w:tcBorders>
            <w:shd w:val="clear" w:color="auto" w:fill="FFFFFF"/>
          </w:tcPr>
          <w:p w14:paraId="642ABA14">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0.080</w:t>
            </w:r>
          </w:p>
        </w:tc>
        <w:tc>
          <w:tcPr>
            <w:tcW w:w="1362" w:type="dxa"/>
            <w:tcBorders>
              <w:top w:val="nil"/>
              <w:left w:val="nil"/>
              <w:bottom w:val="nil"/>
              <w:right w:val="nil"/>
            </w:tcBorders>
            <w:shd w:val="clear" w:color="auto" w:fill="FFFFFF"/>
          </w:tcPr>
          <w:p w14:paraId="6362966C">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0.150</w:t>
            </w:r>
          </w:p>
        </w:tc>
        <w:tc>
          <w:tcPr>
            <w:tcW w:w="1768" w:type="dxa"/>
            <w:tcBorders>
              <w:top w:val="nil"/>
              <w:left w:val="nil"/>
              <w:bottom w:val="nil"/>
              <w:right w:val="nil"/>
            </w:tcBorders>
            <w:shd w:val="clear" w:color="auto" w:fill="FFFFFF"/>
          </w:tcPr>
          <w:p w14:paraId="0E8249FB">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Not supported</w:t>
            </w:r>
          </w:p>
        </w:tc>
      </w:tr>
      <w:tr w14:paraId="1660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8" w:type="dxa"/>
            <w:tcBorders>
              <w:top w:val="nil"/>
              <w:left w:val="nil"/>
              <w:bottom w:val="single" w:color="000000" w:sz="12" w:space="0"/>
              <w:right w:val="nil"/>
            </w:tcBorders>
            <w:shd w:val="clear" w:color="auto" w:fill="FFFFFF"/>
          </w:tcPr>
          <w:p w14:paraId="66DFA8DF">
            <w:pPr>
              <w:widowControl/>
              <w:suppressLineNumbers/>
              <w:suppressAutoHyphens/>
              <w:bidi w:val="0"/>
              <w:spacing w:before="120" w:after="0" w:line="480" w:lineRule="auto"/>
              <w:jc w:val="left"/>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i w:val="0"/>
                <w:iCs/>
                <w:color w:val="000000"/>
                <w:kern w:val="0"/>
                <w:sz w:val="24"/>
                <w:szCs w:val="24"/>
                <w:vertAlign w:val="baseline"/>
                <w:lang w:val="en-US" w:eastAsia="en-US" w:bidi="ar-SA"/>
                <w14:ligatures w14:val="none"/>
              </w:rPr>
              <w:t>H5</w:t>
            </w:r>
          </w:p>
        </w:tc>
        <w:tc>
          <w:tcPr>
            <w:tcW w:w="1050" w:type="dxa"/>
            <w:tcBorders>
              <w:top w:val="nil"/>
              <w:left w:val="nil"/>
              <w:bottom w:val="single" w:color="000000" w:sz="12" w:space="0"/>
              <w:right w:val="nil"/>
            </w:tcBorders>
            <w:shd w:val="clear" w:color="auto" w:fill="FFFFFF"/>
          </w:tcPr>
          <w:p w14:paraId="1A669776">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0.153</w:t>
            </w:r>
          </w:p>
        </w:tc>
        <w:tc>
          <w:tcPr>
            <w:tcW w:w="1080" w:type="dxa"/>
            <w:tcBorders>
              <w:top w:val="nil"/>
              <w:left w:val="nil"/>
              <w:bottom w:val="single" w:color="000000" w:sz="12" w:space="0"/>
              <w:right w:val="nil"/>
            </w:tcBorders>
            <w:shd w:val="clear" w:color="auto" w:fill="FFFFFF"/>
          </w:tcPr>
          <w:p w14:paraId="02E3ADE2">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0.172</w:t>
            </w:r>
          </w:p>
        </w:tc>
        <w:tc>
          <w:tcPr>
            <w:tcW w:w="1150" w:type="dxa"/>
            <w:tcBorders>
              <w:top w:val="nil"/>
              <w:left w:val="nil"/>
              <w:bottom w:val="single" w:color="000000" w:sz="12" w:space="0"/>
              <w:right w:val="nil"/>
            </w:tcBorders>
            <w:shd w:val="clear" w:color="auto" w:fill="FFFFFF"/>
          </w:tcPr>
          <w:p w14:paraId="0C4B3D3E">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0.888</w:t>
            </w:r>
          </w:p>
        </w:tc>
        <w:tc>
          <w:tcPr>
            <w:tcW w:w="1485" w:type="dxa"/>
            <w:tcBorders>
              <w:top w:val="nil"/>
              <w:left w:val="nil"/>
              <w:bottom w:val="single" w:color="000000" w:sz="12" w:space="0"/>
              <w:right w:val="nil"/>
            </w:tcBorders>
            <w:shd w:val="clear" w:color="auto" w:fill="FFFFFF"/>
          </w:tcPr>
          <w:p w14:paraId="75FC1D3F">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0.379</w:t>
            </w:r>
          </w:p>
        </w:tc>
        <w:tc>
          <w:tcPr>
            <w:tcW w:w="1362" w:type="dxa"/>
            <w:tcBorders>
              <w:top w:val="nil"/>
              <w:left w:val="nil"/>
              <w:bottom w:val="single" w:color="000000" w:sz="12" w:space="0"/>
              <w:right w:val="nil"/>
            </w:tcBorders>
            <w:shd w:val="clear" w:color="auto" w:fill="FFFFFF"/>
          </w:tcPr>
          <w:p w14:paraId="5BEFDAE5">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0.016</w:t>
            </w:r>
          </w:p>
        </w:tc>
        <w:tc>
          <w:tcPr>
            <w:tcW w:w="1768" w:type="dxa"/>
            <w:tcBorders>
              <w:top w:val="nil"/>
              <w:left w:val="nil"/>
              <w:bottom w:val="single" w:color="000000" w:sz="12" w:space="0"/>
              <w:right w:val="nil"/>
            </w:tcBorders>
            <w:shd w:val="clear" w:color="auto" w:fill="FFFFFF"/>
          </w:tcPr>
          <w:p w14:paraId="62E988BC">
            <w:pPr>
              <w:widowControl/>
              <w:suppressLineNumbers/>
              <w:suppressAutoHyphens/>
              <w:bidi w:val="0"/>
              <w:spacing w:before="120" w:after="0" w:line="480" w:lineRule="auto"/>
              <w:jc w:val="left"/>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pPr>
            <w:r>
              <w:rPr>
                <w:rFonts w:hint="default" w:ascii="Times New Roman" w:hAnsi="Times New Roman" w:eastAsia="Times New Roman" w:cs="Times New Roman"/>
                <w:b w:val="0"/>
                <w:bCs/>
                <w:i w:val="0"/>
                <w:iCs/>
                <w:color w:val="000000"/>
                <w:kern w:val="0"/>
                <w:sz w:val="24"/>
                <w:szCs w:val="24"/>
                <w:vertAlign w:val="baseline"/>
                <w:lang w:val="en-US" w:eastAsia="en-US" w:bidi="ar-SA"/>
                <w14:ligatures w14:val="none"/>
              </w:rPr>
              <w:t>Not supported</w:t>
            </w:r>
          </w:p>
        </w:tc>
      </w:tr>
    </w:tbl>
    <w:p w14:paraId="4B2228A9">
      <w:pPr>
        <w:widowControl/>
        <w:suppressLineNumbers/>
        <w:suppressAutoHyphens/>
        <w:bidi w:val="0"/>
        <w:spacing w:before="120" w:after="0" w:line="480" w:lineRule="auto"/>
        <w:ind w:firstLine="720"/>
        <w:jc w:val="both"/>
        <w:rPr>
          <w:rFonts w:ascii="Times New Roman" w:hAnsi="Times New Roman" w:eastAsia="Times New Roman" w:cs="Times New Roman"/>
          <w:b/>
          <w:i w:val="0"/>
          <w:iCs/>
          <w:color w:val="auto"/>
          <w:kern w:val="0"/>
          <w:sz w:val="24"/>
          <w:szCs w:val="24"/>
          <w:lang w:val="en-US" w:eastAsia="en-US" w:bidi="ar-SA"/>
          <w14:ligatures w14:val="none"/>
        </w:rPr>
      </w:pPr>
    </w:p>
    <w:p w14:paraId="2EA4B074">
      <w:pPr>
        <w:widowControl/>
        <w:suppressAutoHyphens/>
        <w:bidi w:val="0"/>
        <w:spacing w:before="120" w:after="120" w:line="480" w:lineRule="auto"/>
        <w:ind w:firstLine="720"/>
        <w:jc w:val="both"/>
        <w:rPr>
          <w:rFonts w:hint="default" w:ascii="Times New Roman" w:hAnsi="Times New Roman" w:eastAsia="Times New Roman" w:cs="Times New Roman"/>
          <w:b/>
          <w:bCs/>
          <w:color w:val="auto"/>
          <w:kern w:val="0"/>
          <w:sz w:val="24"/>
          <w:szCs w:val="24"/>
          <w:lang w:val="en-US"/>
          <w14:ligatures w14:val="none"/>
        </w:rPr>
      </w:pPr>
      <w:r>
        <w:rPr>
          <w:rFonts w:hint="default" w:ascii="Times New Roman" w:hAnsi="Times New Roman" w:eastAsia="Times New Roman" w:cs="Times New Roman"/>
          <w:b/>
          <w:bCs/>
          <w:color w:val="auto"/>
          <w:kern w:val="0"/>
          <w:sz w:val="24"/>
          <w:szCs w:val="24"/>
          <w:lang w:val="en-US"/>
          <w14:ligatures w14:val="none"/>
        </w:rPr>
        <w:t>Mediation analysis</w:t>
      </w:r>
    </w:p>
    <w:p w14:paraId="7F3C46F5">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 xml:space="preserve">Hypothesis 6 and 7 proposed that fraud prevention mediates the effect of corporate governance and risk management on organisational effectiveness respectively. Process macro was used to test the mediation. Using least square regression.  </w:t>
      </w:r>
    </w:p>
    <w:p w14:paraId="71C37FA9">
      <w:pPr>
        <w:widowControl/>
        <w:suppressAutoHyphens/>
        <w:bidi w:val="0"/>
        <w:spacing w:before="200" w:after="120" w:line="240" w:lineRule="auto"/>
        <w:ind w:firstLine="720"/>
        <w:jc w:val="both"/>
        <w:outlineLvl w:val="3"/>
        <w:rPr>
          <w:rFonts w:ascii="Times New Roman" w:hAnsi="Times New Roman" w:eastAsia="Times New Roman" w:cs="Times New Roman"/>
          <w:i/>
          <w:iCs/>
          <w:color w:val="000000"/>
          <w:kern w:val="0"/>
          <w:sz w:val="24"/>
          <w:szCs w:val="24"/>
          <w:lang w:val="en-US" w:eastAsia="en-US" w:bidi="ar-SA"/>
          <w14:ligatures w14:val="none"/>
        </w:rPr>
      </w:pPr>
      <w:r>
        <w:rPr>
          <w:rFonts w:ascii="Times New Roman" w:hAnsi="Times New Roman" w:eastAsia="Times New Roman" w:cs="Times New Roman"/>
          <w:b/>
          <w:bCs/>
          <w:i/>
          <w:iCs/>
          <w:color w:val="000000"/>
          <w:kern w:val="0"/>
          <w:sz w:val="24"/>
          <w:szCs w:val="24"/>
          <w:lang w:val="en-US" w:eastAsia="en-US" w:bidi="ar-SA"/>
          <w14:ligatures w14:val="none"/>
        </w:rPr>
        <w:t>H6: Fraud Prevention as a Mediator between Corporate Governance and Organisational Effectiveness</w:t>
      </w:r>
    </w:p>
    <w:p w14:paraId="7146B0AC">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r>
        <w:rPr>
          <w:rFonts w:ascii="Times New Roman" w:hAnsi="Times New Roman" w:eastAsia="Times New Roman" w:cs="Times New Roman"/>
          <w:color w:val="auto"/>
          <w:kern w:val="0"/>
          <w:sz w:val="24"/>
          <w:szCs w:val="24"/>
          <w:lang w:val="en-US"/>
          <w14:ligatures w14:val="none"/>
        </w:rPr>
        <w:t>Corporate governance had a significant total effect on organisational effectiveness (c = 0.684, p &lt; .001) and a significant effect on fraud prevention (a = 0.216, p = 0.032).</w:t>
      </w:r>
      <w:r>
        <w:rPr>
          <w:rFonts w:hint="default" w:ascii="Times New Roman" w:hAnsi="Times New Roman" w:eastAsia="Times New Roman" w:cs="Times New Roman"/>
          <w:color w:val="auto"/>
          <w:kern w:val="0"/>
          <w:sz w:val="24"/>
          <w:szCs w:val="24"/>
          <w:lang w:val="en-US"/>
          <w14:ligatures w14:val="none"/>
        </w:rPr>
        <w:t xml:space="preserve"> Fraud prevention's effect on organisational effectiveness was not significant</w:t>
      </w:r>
      <w:r>
        <w:rPr>
          <w:rFonts w:ascii="Times New Roman" w:hAnsi="Times New Roman" w:eastAsia="Times New Roman" w:cs="Times New Roman"/>
          <w:color w:val="auto"/>
          <w:kern w:val="0"/>
          <w:sz w:val="24"/>
          <w:szCs w:val="24"/>
          <w:lang w:val="en-US"/>
          <w14:ligatures w14:val="none"/>
        </w:rPr>
        <w:t>,</w:t>
      </w:r>
      <w:r>
        <w:rPr>
          <w:rFonts w:hint="default" w:ascii="Times New Roman" w:hAnsi="Times New Roman" w:eastAsia="Times New Roman" w:cs="Times New Roman"/>
          <w:color w:val="auto"/>
          <w:kern w:val="0"/>
          <w:sz w:val="24"/>
          <w:szCs w:val="24"/>
          <w:lang w:val="en-US"/>
          <w14:ligatures w14:val="none"/>
        </w:rPr>
        <w:t xml:space="preserve"> </w:t>
      </w:r>
      <w:r>
        <w:rPr>
          <w:rFonts w:ascii="Times New Roman" w:hAnsi="Times New Roman" w:eastAsia="Times New Roman" w:cs="Times New Roman"/>
          <w:color w:val="auto"/>
          <w:kern w:val="0"/>
          <w:sz w:val="24"/>
          <w:szCs w:val="24"/>
          <w:lang w:val="en-US"/>
          <w14:ligatures w14:val="none"/>
        </w:rPr>
        <w:t xml:space="preserve">(b = -0.154, p = 0.164), and the direct effect of corporate governance on organisational effectiveness </w:t>
      </w:r>
      <w:r>
        <w:rPr>
          <w:rFonts w:hint="default" w:ascii="Times New Roman" w:hAnsi="Times New Roman" w:eastAsia="Times New Roman" w:cs="Times New Roman"/>
          <w:color w:val="auto"/>
          <w:kern w:val="0"/>
          <w:sz w:val="24"/>
          <w:szCs w:val="24"/>
          <w:lang w:val="en-US"/>
          <w14:ligatures w14:val="none"/>
        </w:rPr>
        <w:t>did not</w:t>
      </w:r>
      <w:r>
        <w:rPr>
          <w:rFonts w:ascii="Times New Roman" w:hAnsi="Times New Roman" w:eastAsia="Times New Roman" w:cs="Times New Roman"/>
          <w:color w:val="auto"/>
          <w:kern w:val="0"/>
          <w:sz w:val="24"/>
          <w:szCs w:val="24"/>
          <w:lang w:val="en-US"/>
          <w14:ligatures w14:val="none"/>
        </w:rPr>
        <w:t xml:space="preserve"> </w:t>
      </w:r>
      <w:r>
        <w:rPr>
          <w:rFonts w:hint="default" w:ascii="Times New Roman" w:hAnsi="Times New Roman" w:eastAsia="Times New Roman" w:cs="Times New Roman"/>
          <w:color w:val="auto"/>
          <w:kern w:val="0"/>
          <w:sz w:val="24"/>
          <w:szCs w:val="24"/>
          <w:lang w:val="en-US"/>
          <w14:ligatures w14:val="none"/>
        </w:rPr>
        <w:t xml:space="preserve">really </w:t>
      </w:r>
      <w:r>
        <w:rPr>
          <w:rFonts w:ascii="Times New Roman" w:hAnsi="Times New Roman" w:eastAsia="Times New Roman" w:cs="Times New Roman"/>
          <w:color w:val="auto"/>
          <w:kern w:val="0"/>
          <w:sz w:val="24"/>
          <w:szCs w:val="24"/>
          <w:lang w:val="en-US"/>
          <w14:ligatures w14:val="none"/>
        </w:rPr>
        <w:t>changed (c′ = 0.717, p &lt; .001). The bootstrapped indirect effect was ab = -0.033 (BootSE = 0.026, 95% BCa CI [-0.104, 0.003]) because this interval spans zero,</w:t>
      </w:r>
      <w:r>
        <w:rPr>
          <w:rFonts w:hint="default" w:ascii="Times New Roman" w:hAnsi="Times New Roman" w:eastAsia="Times New Roman" w:cs="Times New Roman"/>
          <w:color w:val="auto"/>
          <w:kern w:val="0"/>
          <w:sz w:val="24"/>
          <w:szCs w:val="24"/>
          <w:lang w:val="en-US"/>
          <w14:ligatures w14:val="none"/>
        </w:rPr>
        <w:t xml:space="preserve"> so</w:t>
      </w:r>
      <w:r>
        <w:rPr>
          <w:rFonts w:ascii="Times New Roman" w:hAnsi="Times New Roman" w:eastAsia="Times New Roman" w:cs="Times New Roman"/>
          <w:color w:val="auto"/>
          <w:kern w:val="0"/>
          <w:sz w:val="24"/>
          <w:szCs w:val="24"/>
          <w:lang w:val="en-US"/>
          <w14:ligatures w14:val="none"/>
        </w:rPr>
        <w:t xml:space="preserve"> the indirect effect is not significant</w:t>
      </w:r>
      <w:r>
        <w:rPr>
          <w:rFonts w:hint="default" w:ascii="Times New Roman" w:hAnsi="Times New Roman" w:eastAsia="Times New Roman" w:cs="Times New Roman"/>
          <w:color w:val="auto"/>
          <w:kern w:val="0"/>
          <w:sz w:val="24"/>
          <w:szCs w:val="24"/>
          <w:lang w:val="en-US"/>
          <w14:ligatures w14:val="none"/>
        </w:rPr>
        <w:t>. Hence,</w:t>
      </w:r>
      <w:r>
        <w:rPr>
          <w:rFonts w:ascii="Times New Roman" w:hAnsi="Times New Roman" w:eastAsia="Times New Roman" w:cs="Times New Roman"/>
          <w:color w:val="auto"/>
          <w:kern w:val="0"/>
          <w:sz w:val="24"/>
          <w:szCs w:val="24"/>
          <w:lang w:val="en-US"/>
          <w14:ligatures w14:val="none"/>
        </w:rPr>
        <w:t xml:space="preserve"> H6 is not supported: fraud prevention, as measured here, does not mediate the relationship between corporate governance and organisational effectiveness</w:t>
      </w:r>
      <w:r>
        <w:rPr>
          <w:rFonts w:hint="default" w:ascii="Times New Roman" w:hAnsi="Times New Roman" w:eastAsia="Times New Roman" w:cs="Times New Roman"/>
          <w:color w:val="auto"/>
          <w:kern w:val="0"/>
          <w:sz w:val="24"/>
          <w:szCs w:val="24"/>
          <w:lang w:val="en-US"/>
          <w14:ligatures w14:val="none"/>
        </w:rPr>
        <w:t>.</w:t>
      </w:r>
    </w:p>
    <w:p w14:paraId="30E8B435">
      <w:pPr>
        <w:widowControl/>
        <w:suppressAutoHyphens/>
        <w:bidi w:val="0"/>
        <w:spacing w:before="200" w:after="120" w:line="240" w:lineRule="auto"/>
        <w:ind w:firstLine="720"/>
        <w:jc w:val="both"/>
        <w:outlineLvl w:val="3"/>
        <w:rPr>
          <w:rFonts w:ascii="Times New Roman" w:hAnsi="Times New Roman" w:eastAsia="Times New Roman" w:cs="Times New Roman"/>
          <w:i/>
          <w:iCs/>
          <w:color w:val="000000"/>
          <w:kern w:val="0"/>
          <w:sz w:val="24"/>
          <w:szCs w:val="24"/>
          <w:lang w:val="en-US" w:eastAsia="en-US" w:bidi="ar-SA"/>
          <w14:ligatures w14:val="none"/>
        </w:rPr>
      </w:pPr>
      <w:r>
        <w:rPr>
          <w:rFonts w:ascii="Times New Roman" w:hAnsi="Times New Roman" w:eastAsia="Times New Roman" w:cs="Times New Roman"/>
          <w:b/>
          <w:bCs/>
          <w:i/>
          <w:iCs/>
          <w:color w:val="000000"/>
          <w:kern w:val="0"/>
          <w:sz w:val="24"/>
          <w:szCs w:val="24"/>
          <w:lang w:val="en-US" w:eastAsia="en-US" w:bidi="ar-SA"/>
          <w14:ligatures w14:val="none"/>
        </w:rPr>
        <w:t>H7: Fraud Prevention as a Mediator between Risk Management and Organisational Effectiveness</w:t>
      </w:r>
    </w:p>
    <w:p w14:paraId="0A42BE72">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Risk management had a significant total effect on organisational effectiveness (c = 0.678, p &lt; .001) but no significant effect on fraud prevention (a = 0.110, p = 0.308). The effect of organisational effectiveness was non significant with fraud prevention (b = 0.020, p = 0.864), and risk management's direct effect on organisational effectiveness stayed essentially unchanged (c′ = 0.676, p &lt; .001). The bootstrapped indirect effect was ab = 0.002 (BootSE = 0.020, 95% BCa CI [-0.027, 0.062]) this interval spans zero, so the indirect effect is not significant, hence H7 is not supported.</w:t>
      </w:r>
    </w:p>
    <w:p w14:paraId="75268CF6">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p>
    <w:p w14:paraId="4E7019A5">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p>
    <w:p w14:paraId="68AE238F">
      <w:pPr>
        <w:widowControl/>
        <w:suppressAutoHyphens/>
        <w:bidi w:val="0"/>
        <w:spacing w:before="120" w:after="120" w:line="480" w:lineRule="auto"/>
        <w:ind w:left="0" w:leftChars="0" w:firstLine="0" w:firstLineChars="0"/>
        <w:jc w:val="both"/>
        <w:rPr>
          <w:rFonts w:hint="default" w:ascii="Times New Roman" w:hAnsi="Times New Roman" w:eastAsia="Times New Roman" w:cs="Times New Roman"/>
          <w:color w:val="auto"/>
          <w:kern w:val="0"/>
          <w:sz w:val="24"/>
          <w:szCs w:val="24"/>
          <w:lang w:val="en-US"/>
          <w14:ligatures w14:val="none"/>
        </w:rPr>
      </w:pPr>
    </w:p>
    <w:p w14:paraId="29AD6E74">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p>
    <w:p w14:paraId="353EAE77">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p>
    <w:p w14:paraId="2333F0FF">
      <w:pPr>
        <w:widowControl/>
        <w:suppressAutoHyphens/>
        <w:bidi w:val="0"/>
        <w:spacing w:before="120" w:after="120" w:line="480" w:lineRule="auto"/>
        <w:ind w:firstLine="720"/>
        <w:jc w:val="both"/>
        <w:rPr>
          <w:rFonts w:hint="default" w:ascii="Times New Roman" w:hAnsi="Times New Roman" w:eastAsia="Times New Roman" w:cs="Times New Roman"/>
          <w:color w:val="auto"/>
          <w:kern w:val="0"/>
          <w:sz w:val="24"/>
          <w:szCs w:val="24"/>
          <w:lang w:val="en-US"/>
          <w14:ligatures w14:val="none"/>
        </w:rPr>
      </w:pPr>
    </w:p>
    <w:p w14:paraId="4A7B41D9">
      <w:pPr>
        <w:ind w:left="0" w:leftChars="0" w:firstLine="0" w:firstLineChars="0"/>
        <w:jc w:val="both"/>
        <w:rPr>
          <w:rFonts w:hint="default" w:ascii="Times New Roman" w:hAnsi="Times New Roman" w:eastAsia="Times New Roman" w:cs="Times New Roman"/>
          <w:kern w:val="0"/>
          <w:sz w:val="24"/>
          <w:szCs w:val="24"/>
          <w:lang w:val="en-US"/>
          <w14:ligatures w14:val="none"/>
        </w:rPr>
        <w:sectPr>
          <w:footerReference r:id="rId6" w:type="default"/>
          <w:pgSz w:w="11907" w:h="16839"/>
          <w:pgMar w:top="1440" w:right="1440" w:bottom="1440" w:left="1440" w:header="720" w:footer="346" w:gutter="0"/>
          <w:pgNumType w:start="1"/>
          <w:cols w:space="720" w:num="1"/>
          <w:docGrid w:linePitch="360" w:charSpace="0"/>
        </w:sect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657"/>
        <w:gridCol w:w="1552"/>
        <w:gridCol w:w="1552"/>
        <w:gridCol w:w="1552"/>
        <w:gridCol w:w="1506"/>
        <w:gridCol w:w="1551"/>
        <w:gridCol w:w="1436"/>
        <w:gridCol w:w="1843"/>
      </w:tblGrid>
      <w:tr w14:paraId="7FED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000000" w:sz="4" w:space="0"/>
              <w:left w:val="nil"/>
              <w:bottom w:val="nil"/>
              <w:right w:val="nil"/>
              <w:tl2br w:val="nil"/>
            </w:tcBorders>
            <w:shd w:val="clear" w:color="auto" w:fill="FFFFFF"/>
          </w:tcPr>
          <w:p w14:paraId="6F9E8D45">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 xml:space="preserve">Hypothesis </w:t>
            </w:r>
          </w:p>
        </w:tc>
        <w:tc>
          <w:tcPr>
            <w:tcW w:w="1657" w:type="dxa"/>
            <w:tcBorders>
              <w:top w:val="single" w:color="000000" w:sz="4" w:space="0"/>
              <w:left w:val="nil"/>
              <w:bottom w:val="nil"/>
              <w:right w:val="nil"/>
            </w:tcBorders>
            <w:shd w:val="clear" w:color="auto" w:fill="FFFFFF"/>
          </w:tcPr>
          <w:p w14:paraId="3A59C1B9">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 xml:space="preserve">Path </w:t>
            </w:r>
          </w:p>
        </w:tc>
        <w:tc>
          <w:tcPr>
            <w:tcW w:w="1552" w:type="dxa"/>
            <w:tcBorders>
              <w:top w:val="single" w:color="000000" w:sz="4" w:space="0"/>
              <w:left w:val="nil"/>
              <w:bottom w:val="nil"/>
              <w:right w:val="nil"/>
            </w:tcBorders>
            <w:shd w:val="clear" w:color="auto" w:fill="FFFFFF"/>
          </w:tcPr>
          <w:p w14:paraId="7F257AF6">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 xml:space="preserve">Total effect </w:t>
            </w:r>
          </w:p>
        </w:tc>
        <w:tc>
          <w:tcPr>
            <w:tcW w:w="1552" w:type="dxa"/>
            <w:tcBorders>
              <w:top w:val="single" w:color="000000" w:sz="4" w:space="0"/>
              <w:left w:val="nil"/>
              <w:bottom w:val="nil"/>
              <w:right w:val="nil"/>
            </w:tcBorders>
            <w:shd w:val="clear" w:color="auto" w:fill="FFFFFF"/>
          </w:tcPr>
          <w:p w14:paraId="5A07B2C3">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Direct effect</w:t>
            </w:r>
          </w:p>
        </w:tc>
        <w:tc>
          <w:tcPr>
            <w:tcW w:w="1552" w:type="dxa"/>
            <w:tcBorders>
              <w:top w:val="single" w:color="000000" w:sz="4" w:space="0"/>
              <w:left w:val="nil"/>
              <w:bottom w:val="nil"/>
              <w:right w:val="nil"/>
            </w:tcBorders>
            <w:shd w:val="clear" w:color="auto" w:fill="FFFFFF"/>
          </w:tcPr>
          <w:p w14:paraId="658FBB96">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Indirect effect</w:t>
            </w:r>
          </w:p>
        </w:tc>
        <w:tc>
          <w:tcPr>
            <w:tcW w:w="1506" w:type="dxa"/>
            <w:tcBorders>
              <w:top w:val="single" w:color="000000" w:sz="4" w:space="0"/>
              <w:left w:val="nil"/>
              <w:bottom w:val="nil"/>
              <w:right w:val="nil"/>
            </w:tcBorders>
            <w:shd w:val="clear" w:color="auto" w:fill="FFFFFF"/>
          </w:tcPr>
          <w:p w14:paraId="1CCCBD16">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Boot SE</w:t>
            </w:r>
          </w:p>
        </w:tc>
        <w:tc>
          <w:tcPr>
            <w:tcW w:w="1551" w:type="dxa"/>
            <w:tcBorders>
              <w:top w:val="single" w:color="000000" w:sz="4" w:space="0"/>
              <w:left w:val="nil"/>
              <w:bottom w:val="nil"/>
              <w:right w:val="nil"/>
            </w:tcBorders>
            <w:shd w:val="clear" w:color="auto" w:fill="FFFFFF"/>
          </w:tcPr>
          <w:p w14:paraId="32CD387E">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LLCI</w:t>
            </w:r>
          </w:p>
        </w:tc>
        <w:tc>
          <w:tcPr>
            <w:tcW w:w="1436" w:type="dxa"/>
            <w:tcBorders>
              <w:top w:val="single" w:color="000000" w:sz="4" w:space="0"/>
              <w:left w:val="nil"/>
              <w:bottom w:val="nil"/>
              <w:right w:val="nil"/>
            </w:tcBorders>
            <w:shd w:val="clear" w:color="auto" w:fill="FFFFFF"/>
          </w:tcPr>
          <w:p w14:paraId="6E3AAC4F">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ULCI</w:t>
            </w:r>
          </w:p>
        </w:tc>
        <w:tc>
          <w:tcPr>
            <w:tcW w:w="1843" w:type="dxa"/>
            <w:tcBorders>
              <w:top w:val="single" w:color="000000" w:sz="4" w:space="0"/>
              <w:left w:val="nil"/>
              <w:bottom w:val="nil"/>
              <w:right w:val="nil"/>
            </w:tcBorders>
            <w:shd w:val="clear" w:color="auto" w:fill="FFFFFF"/>
          </w:tcPr>
          <w:p w14:paraId="70534745">
            <w:pPr>
              <w:widowControl/>
              <w:suppressAutoHyphens/>
              <w:bidi w:val="0"/>
              <w:spacing w:before="120" w:after="120" w:line="480" w:lineRule="auto"/>
              <w:jc w:val="both"/>
              <w:rPr>
                <w:rFonts w:hint="default" w:ascii="Times New Roman" w:hAnsi="Times New Roman" w:eastAsia="Times New Roman" w:cs="Times New Roman"/>
                <w:b w:val="0"/>
                <w:bCs/>
                <w:color w:val="000000"/>
                <w:kern w:val="0"/>
                <w:sz w:val="24"/>
                <w:szCs w:val="24"/>
                <w:vertAlign w:val="baseline"/>
                <w:lang w:val="en-US"/>
                <w14:ligatures w14:val="none"/>
              </w:rPr>
            </w:pPr>
            <w:r>
              <w:rPr>
                <w:rFonts w:hint="default" w:ascii="Times New Roman" w:hAnsi="Times New Roman" w:eastAsia="Times New Roman" w:cs="Times New Roman"/>
                <w:b w:val="0"/>
                <w:bCs/>
                <w:color w:val="000000"/>
                <w:kern w:val="0"/>
                <w:sz w:val="24"/>
                <w:szCs w:val="24"/>
                <w:vertAlign w:val="baseline"/>
                <w:lang w:val="en-US"/>
                <w14:ligatures w14:val="none"/>
              </w:rPr>
              <w:t xml:space="preserve">Outcome </w:t>
            </w:r>
          </w:p>
        </w:tc>
      </w:tr>
      <w:tr w14:paraId="3A38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nil"/>
              <w:left w:val="nil"/>
              <w:bottom w:val="nil"/>
              <w:right w:val="nil"/>
            </w:tcBorders>
            <w:shd w:val="clear" w:color="auto" w:fill="FFFFFF"/>
          </w:tcPr>
          <w:p w14:paraId="6C58204F">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H6</w:t>
            </w:r>
          </w:p>
        </w:tc>
        <w:tc>
          <w:tcPr>
            <w:tcW w:w="1657" w:type="dxa"/>
            <w:tcBorders>
              <w:top w:val="nil"/>
              <w:left w:val="nil"/>
              <w:bottom w:val="nil"/>
              <w:right w:val="nil"/>
            </w:tcBorders>
            <w:shd w:val="clear" w:color="auto" w:fill="FFFFFF"/>
          </w:tcPr>
          <w:p w14:paraId="59193541">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CG</w:t>
            </w:r>
            <w:r>
              <w:rPr>
                <w:rFonts w:hint="default" w:ascii="Arial" w:hAnsi="Arial" w:eastAsia="Times New Roman" w:cs="Arial"/>
                <w:b w:val="0"/>
                <w:color w:val="000000"/>
                <w:kern w:val="0"/>
                <w:sz w:val="24"/>
                <w:szCs w:val="24"/>
                <w:vertAlign w:val="baseline"/>
                <w:lang w:val="en-US"/>
                <w14:ligatures w14:val="none"/>
              </w:rPr>
              <w:t>→</w:t>
            </w:r>
            <w:r>
              <w:rPr>
                <w:rFonts w:hint="default" w:ascii="Times New Roman" w:hAnsi="Times New Roman" w:eastAsia="Times New Roman" w:cs="Times New Roman"/>
                <w:b w:val="0"/>
                <w:color w:val="000000"/>
                <w:kern w:val="0"/>
                <w:sz w:val="24"/>
                <w:szCs w:val="24"/>
                <w:vertAlign w:val="baseline"/>
                <w:lang w:val="en-US"/>
                <w14:ligatures w14:val="none"/>
              </w:rPr>
              <w:t>FP</w:t>
            </w:r>
            <w:r>
              <w:rPr>
                <w:rFonts w:hint="default" w:ascii="Arial" w:hAnsi="Arial" w:eastAsia="Times New Roman" w:cs="Arial"/>
                <w:b w:val="0"/>
                <w:color w:val="000000"/>
                <w:kern w:val="0"/>
                <w:sz w:val="24"/>
                <w:szCs w:val="24"/>
                <w:vertAlign w:val="baseline"/>
                <w:lang w:val="en-US"/>
                <w14:ligatures w14:val="none"/>
              </w:rPr>
              <w:t>→</w:t>
            </w:r>
            <w:r>
              <w:rPr>
                <w:rFonts w:hint="default" w:ascii="Times New Roman" w:hAnsi="Times New Roman" w:eastAsia="Times New Roman" w:cs="Times New Roman"/>
                <w:b w:val="0"/>
                <w:color w:val="000000"/>
                <w:kern w:val="0"/>
                <w:sz w:val="24"/>
                <w:szCs w:val="24"/>
                <w:vertAlign w:val="baseline"/>
                <w:lang w:val="en-US"/>
                <w14:ligatures w14:val="none"/>
              </w:rPr>
              <w:t>OE</w:t>
            </w:r>
          </w:p>
        </w:tc>
        <w:tc>
          <w:tcPr>
            <w:tcW w:w="1552" w:type="dxa"/>
            <w:tcBorders>
              <w:top w:val="nil"/>
              <w:left w:val="nil"/>
              <w:bottom w:val="nil"/>
              <w:right w:val="nil"/>
            </w:tcBorders>
            <w:shd w:val="clear" w:color="auto" w:fill="FFFFFF"/>
          </w:tcPr>
          <w:p w14:paraId="39DEBCFE">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0.684</w:t>
            </w:r>
          </w:p>
        </w:tc>
        <w:tc>
          <w:tcPr>
            <w:tcW w:w="1552" w:type="dxa"/>
            <w:tcBorders>
              <w:top w:val="nil"/>
              <w:left w:val="nil"/>
              <w:bottom w:val="nil"/>
              <w:right w:val="nil"/>
            </w:tcBorders>
            <w:shd w:val="clear" w:color="auto" w:fill="FFFFFF"/>
          </w:tcPr>
          <w:p w14:paraId="0313C7E6">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0.717</w:t>
            </w:r>
          </w:p>
        </w:tc>
        <w:tc>
          <w:tcPr>
            <w:tcW w:w="1552" w:type="dxa"/>
            <w:tcBorders>
              <w:top w:val="nil"/>
              <w:left w:val="nil"/>
              <w:bottom w:val="nil"/>
              <w:right w:val="nil"/>
            </w:tcBorders>
            <w:shd w:val="clear" w:color="auto" w:fill="FFFFFF"/>
          </w:tcPr>
          <w:p w14:paraId="7E806868">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-0.033</w:t>
            </w:r>
          </w:p>
        </w:tc>
        <w:tc>
          <w:tcPr>
            <w:tcW w:w="1506" w:type="dxa"/>
            <w:tcBorders>
              <w:top w:val="nil"/>
              <w:left w:val="nil"/>
              <w:bottom w:val="nil"/>
              <w:right w:val="nil"/>
            </w:tcBorders>
            <w:shd w:val="clear" w:color="auto" w:fill="FFFFFF"/>
          </w:tcPr>
          <w:p w14:paraId="1C5C27B8">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0.026</w:t>
            </w:r>
          </w:p>
        </w:tc>
        <w:tc>
          <w:tcPr>
            <w:tcW w:w="1551" w:type="dxa"/>
            <w:tcBorders>
              <w:top w:val="nil"/>
              <w:left w:val="nil"/>
              <w:bottom w:val="nil"/>
              <w:right w:val="nil"/>
            </w:tcBorders>
            <w:shd w:val="clear" w:color="auto" w:fill="FFFFFF"/>
          </w:tcPr>
          <w:p w14:paraId="41D9D951">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-0.104</w:t>
            </w:r>
          </w:p>
        </w:tc>
        <w:tc>
          <w:tcPr>
            <w:tcW w:w="1436" w:type="dxa"/>
            <w:tcBorders>
              <w:top w:val="nil"/>
              <w:left w:val="nil"/>
              <w:bottom w:val="nil"/>
              <w:right w:val="nil"/>
            </w:tcBorders>
            <w:shd w:val="clear" w:color="auto" w:fill="FFFFFF"/>
          </w:tcPr>
          <w:p w14:paraId="60C7E940">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0.003</w:t>
            </w:r>
          </w:p>
        </w:tc>
        <w:tc>
          <w:tcPr>
            <w:tcW w:w="1843" w:type="dxa"/>
            <w:tcBorders>
              <w:top w:val="nil"/>
              <w:left w:val="nil"/>
              <w:bottom w:val="nil"/>
              <w:right w:val="nil"/>
            </w:tcBorders>
            <w:shd w:val="clear" w:color="auto" w:fill="FFFFFF"/>
          </w:tcPr>
          <w:p w14:paraId="7F8633F6">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 xml:space="preserve">Not supported  </w:t>
            </w:r>
          </w:p>
        </w:tc>
      </w:tr>
      <w:tr w14:paraId="0F79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nil"/>
              <w:left w:val="nil"/>
              <w:bottom w:val="single" w:color="000000" w:sz="4" w:space="0"/>
              <w:right w:val="dotted" w:color="auto" w:sz="4" w:space="0"/>
            </w:tcBorders>
            <w:shd w:val="clear" w:color="auto" w:fill="FFFFFF"/>
          </w:tcPr>
          <w:p w14:paraId="0D8636AD">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H7</w:t>
            </w:r>
          </w:p>
        </w:tc>
        <w:tc>
          <w:tcPr>
            <w:tcW w:w="1657" w:type="dxa"/>
            <w:tcBorders>
              <w:top w:val="nil"/>
              <w:left w:val="dotted" w:color="auto" w:sz="4" w:space="0"/>
              <w:bottom w:val="single" w:color="000000" w:sz="4" w:space="0"/>
              <w:right w:val="nil"/>
            </w:tcBorders>
            <w:shd w:val="clear" w:color="auto" w:fill="FFFFFF"/>
          </w:tcPr>
          <w:p w14:paraId="4B6410D7">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RM</w:t>
            </w:r>
            <w:r>
              <w:rPr>
                <w:rFonts w:hint="default" w:ascii="Arial" w:hAnsi="Arial" w:eastAsia="Times New Roman" w:cs="Arial"/>
                <w:b w:val="0"/>
                <w:color w:val="000000"/>
                <w:kern w:val="0"/>
                <w:sz w:val="24"/>
                <w:szCs w:val="24"/>
                <w:vertAlign w:val="baseline"/>
                <w:lang w:val="en-US"/>
                <w14:ligatures w14:val="none"/>
              </w:rPr>
              <w:t>→</w:t>
            </w:r>
            <w:r>
              <w:rPr>
                <w:rFonts w:hint="default" w:ascii="Times New Roman" w:hAnsi="Times New Roman" w:eastAsia="Times New Roman" w:cs="Times New Roman"/>
                <w:b w:val="0"/>
                <w:color w:val="000000"/>
                <w:kern w:val="0"/>
                <w:sz w:val="24"/>
                <w:szCs w:val="24"/>
                <w:vertAlign w:val="baseline"/>
                <w:lang w:val="en-US"/>
                <w14:ligatures w14:val="none"/>
              </w:rPr>
              <w:t>FP</w:t>
            </w:r>
            <w:r>
              <w:rPr>
                <w:rFonts w:hint="default" w:ascii="Arial" w:hAnsi="Arial" w:eastAsia="Times New Roman" w:cs="Arial"/>
                <w:b w:val="0"/>
                <w:color w:val="000000"/>
                <w:kern w:val="0"/>
                <w:sz w:val="24"/>
                <w:szCs w:val="24"/>
                <w:vertAlign w:val="baseline"/>
                <w:lang w:val="en-US"/>
                <w14:ligatures w14:val="none"/>
              </w:rPr>
              <w:t>→</w:t>
            </w:r>
            <w:r>
              <w:rPr>
                <w:rFonts w:hint="default" w:ascii="Times New Roman" w:hAnsi="Times New Roman" w:eastAsia="Times New Roman" w:cs="Times New Roman"/>
                <w:b w:val="0"/>
                <w:color w:val="000000"/>
                <w:kern w:val="0"/>
                <w:sz w:val="24"/>
                <w:szCs w:val="24"/>
                <w:vertAlign w:val="baseline"/>
                <w:lang w:val="en-US"/>
                <w14:ligatures w14:val="none"/>
              </w:rPr>
              <w:t>OE</w:t>
            </w:r>
          </w:p>
        </w:tc>
        <w:tc>
          <w:tcPr>
            <w:tcW w:w="1552" w:type="dxa"/>
            <w:tcBorders>
              <w:top w:val="nil"/>
              <w:left w:val="nil"/>
              <w:bottom w:val="single" w:color="000000" w:sz="4" w:space="0"/>
              <w:right w:val="nil"/>
            </w:tcBorders>
            <w:shd w:val="clear" w:color="auto" w:fill="FFFFFF"/>
          </w:tcPr>
          <w:p w14:paraId="41E45299">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0.678</w:t>
            </w:r>
          </w:p>
        </w:tc>
        <w:tc>
          <w:tcPr>
            <w:tcW w:w="1552" w:type="dxa"/>
            <w:tcBorders>
              <w:top w:val="nil"/>
              <w:left w:val="nil"/>
              <w:bottom w:val="single" w:color="000000" w:sz="4" w:space="0"/>
              <w:right w:val="nil"/>
            </w:tcBorders>
            <w:shd w:val="clear" w:color="auto" w:fill="FFFFFF"/>
          </w:tcPr>
          <w:p w14:paraId="654782E8">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0.676</w:t>
            </w:r>
          </w:p>
        </w:tc>
        <w:tc>
          <w:tcPr>
            <w:tcW w:w="1552" w:type="dxa"/>
            <w:tcBorders>
              <w:top w:val="nil"/>
              <w:left w:val="nil"/>
              <w:bottom w:val="single" w:color="000000" w:sz="4" w:space="0"/>
              <w:right w:val="nil"/>
            </w:tcBorders>
            <w:shd w:val="clear" w:color="auto" w:fill="FFFFFF"/>
          </w:tcPr>
          <w:p w14:paraId="57E21C2F">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0.002</w:t>
            </w:r>
          </w:p>
        </w:tc>
        <w:tc>
          <w:tcPr>
            <w:tcW w:w="1506" w:type="dxa"/>
            <w:tcBorders>
              <w:top w:val="nil"/>
              <w:left w:val="nil"/>
              <w:bottom w:val="single" w:color="000000" w:sz="4" w:space="0"/>
              <w:right w:val="nil"/>
            </w:tcBorders>
            <w:shd w:val="clear" w:color="auto" w:fill="FFFFFF"/>
          </w:tcPr>
          <w:p w14:paraId="51F3DB17">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0.020</w:t>
            </w:r>
          </w:p>
        </w:tc>
        <w:tc>
          <w:tcPr>
            <w:tcW w:w="1551" w:type="dxa"/>
            <w:tcBorders>
              <w:top w:val="nil"/>
              <w:left w:val="nil"/>
              <w:bottom w:val="single" w:color="000000" w:sz="4" w:space="0"/>
              <w:right w:val="nil"/>
            </w:tcBorders>
            <w:shd w:val="clear" w:color="auto" w:fill="FFFFFF"/>
          </w:tcPr>
          <w:p w14:paraId="63045370">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-0.027</w:t>
            </w:r>
          </w:p>
        </w:tc>
        <w:tc>
          <w:tcPr>
            <w:tcW w:w="1436" w:type="dxa"/>
            <w:tcBorders>
              <w:top w:val="nil"/>
              <w:left w:val="nil"/>
              <w:bottom w:val="single" w:color="000000" w:sz="4" w:space="0"/>
              <w:right w:val="nil"/>
            </w:tcBorders>
            <w:shd w:val="clear" w:color="auto" w:fill="FFFFFF"/>
          </w:tcPr>
          <w:p w14:paraId="37334931">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0.062</w:t>
            </w:r>
          </w:p>
        </w:tc>
        <w:tc>
          <w:tcPr>
            <w:tcW w:w="1843" w:type="dxa"/>
            <w:tcBorders>
              <w:top w:val="nil"/>
              <w:left w:val="nil"/>
              <w:bottom w:val="single" w:color="000000" w:sz="4" w:space="0"/>
              <w:right w:val="nil"/>
            </w:tcBorders>
            <w:shd w:val="clear" w:color="auto" w:fill="FFFFFF"/>
          </w:tcPr>
          <w:p w14:paraId="2E9F07C7">
            <w:pPr>
              <w:widowControl/>
              <w:suppressAutoHyphens/>
              <w:bidi w:val="0"/>
              <w:spacing w:before="120" w:after="120" w:line="480" w:lineRule="auto"/>
              <w:jc w:val="both"/>
              <w:rPr>
                <w:rFonts w:hint="default" w:ascii="Times New Roman" w:hAnsi="Times New Roman" w:eastAsia="Times New Roman" w:cs="Times New Roman"/>
                <w:b w:val="0"/>
                <w:color w:val="000000"/>
                <w:kern w:val="0"/>
                <w:sz w:val="24"/>
                <w:szCs w:val="24"/>
                <w:vertAlign w:val="baseline"/>
                <w:lang w:val="en-US"/>
                <w14:ligatures w14:val="none"/>
              </w:rPr>
            </w:pPr>
            <w:r>
              <w:rPr>
                <w:rFonts w:hint="default" w:ascii="Times New Roman" w:hAnsi="Times New Roman" w:eastAsia="Times New Roman" w:cs="Times New Roman"/>
                <w:b w:val="0"/>
                <w:color w:val="000000"/>
                <w:kern w:val="0"/>
                <w:sz w:val="24"/>
                <w:szCs w:val="24"/>
                <w:vertAlign w:val="baseline"/>
                <w:lang w:val="en-US"/>
                <w14:ligatures w14:val="none"/>
              </w:rPr>
              <w:t>Not supported</w:t>
            </w:r>
          </w:p>
        </w:tc>
      </w:tr>
    </w:tbl>
    <w:p w14:paraId="3D47FB17">
      <w:pPr>
        <w:widowControl/>
        <w:suppressAutoHyphens/>
        <w:bidi w:val="0"/>
        <w:spacing w:before="120" w:after="120" w:line="480" w:lineRule="auto"/>
        <w:ind w:firstLine="720"/>
        <w:jc w:val="both"/>
        <w:rPr>
          <w:rFonts w:hint="default" w:ascii="Times New Roman" w:hAnsi="Times New Roman" w:eastAsia="Times New Roman" w:cs="Times New Roman"/>
          <w:b/>
          <w:bCs/>
          <w:color w:val="auto"/>
          <w:kern w:val="0"/>
          <w:sz w:val="24"/>
          <w:szCs w:val="24"/>
          <w:lang w:val="en-US"/>
          <w14:ligatures w14:val="none"/>
        </w:rPr>
      </w:pPr>
      <w:r>
        <w:rPr>
          <w:rFonts w:hint="default" w:ascii="Times New Roman" w:hAnsi="Times New Roman" w:eastAsia="Times New Roman" w:cs="Times New Roman"/>
          <w:b/>
          <w:bCs/>
          <w:color w:val="auto"/>
          <w:kern w:val="0"/>
          <w:sz w:val="24"/>
          <w:szCs w:val="24"/>
          <w:lang w:val="en-US"/>
          <w14:ligatures w14:val="none"/>
        </w:rPr>
        <w:t xml:space="preserve">Table 12 : Mediation analysis </w:t>
      </w:r>
      <w:r>
        <w:rPr>
          <w:rFonts w:ascii="Times New Roman" w:hAnsi="Times New Roman" w:eastAsia="Times New Roman" w:cs="Times New Roman"/>
          <w:b/>
          <w:bCs/>
          <w:color w:val="auto"/>
          <w:kern w:val="0"/>
          <w:sz w:val="24"/>
          <w:szCs w:val="24"/>
          <w:lang w:val="en-US"/>
          <w14:ligatures w14:val="none"/>
        </w:rPr>
        <w:t>of corporate governance, risk management, fraud prevention and organisational effectiveness</w:t>
      </w:r>
    </w:p>
    <w:p w14:paraId="0A1B75DF">
      <w:pPr>
        <w:widowControl/>
        <w:suppressAutoHyphens/>
        <w:bidi w:val="0"/>
        <w:spacing w:before="120" w:after="120" w:line="480" w:lineRule="auto"/>
        <w:ind w:left="0" w:leftChars="0" w:firstLine="0" w:firstLineChars="0"/>
        <w:jc w:val="both"/>
        <w:rPr>
          <w:rFonts w:hint="default" w:ascii="Times New Roman" w:hAnsi="Times New Roman" w:eastAsia="Times New Roman" w:cs="Times New Roman"/>
          <w:color w:val="auto"/>
          <w:kern w:val="0"/>
          <w:sz w:val="24"/>
          <w:szCs w:val="24"/>
          <w:lang w:val="en-US"/>
          <w14:ligatures w14:val="none"/>
        </w:rPr>
      </w:pPr>
    </w:p>
    <w:p w14:paraId="24583A7C">
      <w:pPr>
        <w:ind w:left="0" w:leftChars="0" w:firstLine="0" w:firstLineChars="0"/>
        <w:jc w:val="both"/>
        <w:rPr>
          <w:rFonts w:hint="default" w:ascii="Times New Roman" w:hAnsi="Times New Roman" w:eastAsia="Times New Roman" w:cs="Times New Roman"/>
          <w:kern w:val="0"/>
          <w:sz w:val="24"/>
          <w:szCs w:val="24"/>
          <w:lang w:val="en-US"/>
          <w14:ligatures w14:val="none"/>
        </w:rPr>
        <w:sectPr>
          <w:pgSz w:w="16839" w:h="11907" w:orient="landscape"/>
          <w:pgMar w:top="1440" w:right="1440" w:bottom="1440" w:left="1440" w:header="720" w:footer="346" w:gutter="0"/>
          <w:cols w:space="720" w:num="1"/>
          <w:docGrid w:linePitch="360" w:charSpace="0"/>
        </w:sectPr>
      </w:pPr>
    </w:p>
    <w:bookmarkEnd w:id="77"/>
    <w:bookmarkEnd w:id="78"/>
    <w:bookmarkEnd w:id="79"/>
    <w:bookmarkEnd w:id="88"/>
    <w:p w14:paraId="7BEB4A85">
      <w:pPr>
        <w:widowControl/>
        <w:suppressAutoHyphens/>
        <w:bidi w:val="0"/>
        <w:spacing w:before="0" w:after="100" w:line="240" w:lineRule="auto"/>
        <w:ind w:firstLine="720"/>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89" w:name="_Toc112686811"/>
      <w:bookmarkStart w:id="90" w:name="_Toc112693661"/>
      <w:r>
        <w:rPr>
          <w:rFonts w:ascii="Times New Roman" w:hAnsi="Times New Roman" w:eastAsia="Times New Roman" w:cs="Times New Roman"/>
          <w:b/>
          <w:bCs/>
          <w:color w:val="000000"/>
          <w:kern w:val="0"/>
          <w:sz w:val="24"/>
          <w:szCs w:val="24"/>
          <w:lang w:val="en-US" w:eastAsia="en-US" w:bidi="ar-SA"/>
          <w14:ligatures w14:val="none"/>
        </w:rPr>
        <w:t>Discussion</w:t>
      </w:r>
      <w:bookmarkEnd w:id="89"/>
      <w:r>
        <w:rPr>
          <w:rFonts w:ascii="Times New Roman" w:hAnsi="Times New Roman" w:eastAsia="Times New Roman" w:cs="Times New Roman"/>
          <w:b/>
          <w:bCs/>
          <w:color w:val="000000"/>
          <w:kern w:val="0"/>
          <w:sz w:val="24"/>
          <w:szCs w:val="24"/>
          <w:lang w:val="en-US" w:eastAsia="en-US" w:bidi="ar-SA"/>
          <w14:ligatures w14:val="none"/>
        </w:rPr>
        <w:t>s</w:t>
      </w:r>
      <w:bookmarkEnd w:id="90"/>
    </w:p>
    <w:p w14:paraId="0C40CA9C">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 xml:space="preserve">This section discusses the results presented above in relation to each objective of this study. </w:t>
      </w:r>
    </w:p>
    <w:p w14:paraId="375736B8">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b/>
          <w:bCs/>
          <w:color w:val="auto"/>
          <w:kern w:val="0"/>
          <w:sz w:val="24"/>
          <w:szCs w:val="24"/>
          <w:lang w:val="en-US"/>
          <w14:ligatures w14:val="none"/>
        </w:rPr>
      </w:pPr>
      <w:r>
        <w:rPr>
          <w:rFonts w:hint="default" w:ascii="Times New Roman" w:hAnsi="Times New Roman" w:eastAsia="Times New Roman" w:cs="Times New Roman"/>
          <w:b/>
          <w:bCs/>
          <w:color w:val="auto"/>
          <w:kern w:val="0"/>
          <w:sz w:val="24"/>
          <w:szCs w:val="24"/>
          <w:lang w:val="en-US"/>
          <w14:ligatures w14:val="none"/>
        </w:rPr>
        <w:t xml:space="preserve">Research Objective 1: Effect of corporate governance on fraud prevention in selected Ghanaian firms </w:t>
      </w:r>
    </w:p>
    <w:p w14:paraId="7B98704E">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 xml:space="preserve">Objective 1 seeks to assess the impact of corporate governance practices on fraud prevention in Ghanaian firms. And hypothesis 3 which states, corporate governance practices have a significant positive effect on fraud prevention support this objective. And the two constructs also correlated significantly. This is in line with Herawaty and Hernando (2020), Hakki et al. (2025), Aisyah et al. (2023), Rohmatin et al. (2021) and Kulmie and Ibrahim (2024). Whom found that good corporate governance significantly predicts fraud prevention. This is consistent with Ghanaian corporate governance reforms such as the Companies Act 2019 (Act 992) which directs companies toward the kind of board oversight, strategic planning and good conduct enforcement that corporate governance seeks to encompasses. The data suggest these practices lead to stronger fraud prevention rather than function as mere compliance formalities </w:t>
      </w:r>
      <w:r>
        <w:rPr>
          <w:rFonts w:ascii="Times New Roman" w:hAnsi="Times New Roman" w:eastAsia="Times New Roman" w:cs="Times New Roman"/>
          <w:color w:val="auto"/>
          <w:kern w:val="0"/>
          <w:sz w:val="24"/>
          <w:szCs w:val="24"/>
          <w:lang w:val="en-US"/>
          <w14:ligatures w14:val="none"/>
        </w:rPr>
        <w:t xml:space="preserve"> </w:t>
      </w:r>
      <w:bookmarkStart w:id="91" w:name="_Toc112686813"/>
      <w:bookmarkStart w:id="92" w:name="_Toc112693663"/>
    </w:p>
    <w:p w14:paraId="33FA43DA">
      <w:pPr>
        <w:widowControl/>
        <w:suppressAutoHyphens/>
        <w:bidi w:val="0"/>
        <w:spacing w:before="0" w:beforeAutospacing="0" w:after="0" w:afterAutospacing="0" w:line="480" w:lineRule="auto"/>
        <w:ind w:left="0" w:firstLine="680"/>
        <w:jc w:val="both"/>
        <w:rPr>
          <w:rFonts w:ascii="Times New Roman" w:hAnsi="Times New Roman" w:eastAsia="Times New Roman" w:cs="Times New Roman"/>
          <w:color w:val="auto"/>
          <w:kern w:val="0"/>
          <w:sz w:val="24"/>
          <w:szCs w:val="24"/>
          <w:lang w:val="en-US"/>
          <w14:ligatures w14:val="none"/>
        </w:rPr>
      </w:pPr>
    </w:p>
    <w:bookmarkEnd w:id="91"/>
    <w:bookmarkEnd w:id="92"/>
    <w:p w14:paraId="3958C080">
      <w:pPr>
        <w:widowControl/>
        <w:suppressAutoHyphens/>
        <w:bidi w:val="0"/>
        <w:spacing w:before="0" w:after="100" w:line="240" w:lineRule="auto"/>
        <w:ind w:firstLine="720"/>
        <w:jc w:val="both"/>
        <w:outlineLvl w:val="1"/>
        <w:rPr>
          <w:rFonts w:ascii="Times New Roman" w:hAnsi="Times New Roman" w:eastAsia="Times New Roman" w:cs="Times New Roman"/>
          <w:b/>
          <w:bCs/>
          <w:color w:val="000000"/>
          <w:kern w:val="0"/>
          <w:sz w:val="24"/>
          <w:szCs w:val="24"/>
          <w:lang w:val="en-US" w:eastAsia="en-US" w:bidi="ar-SA"/>
          <w14:ligatures w14:val="none"/>
        </w:rPr>
      </w:pPr>
      <w:r>
        <w:rPr>
          <w:rFonts w:hint="default" w:ascii="Times New Roman" w:hAnsi="Times New Roman" w:eastAsia="Times New Roman" w:cs="Times New Roman"/>
          <w:b/>
          <w:bCs/>
          <w:color w:val="000000"/>
          <w:kern w:val="0"/>
          <w:sz w:val="24"/>
          <w:szCs w:val="24"/>
          <w:lang w:val="en-US" w:eastAsia="en-US" w:bidi="ar-SA"/>
          <w14:ligatures w14:val="none"/>
        </w:rPr>
        <w:t>Research Objective 2: Effect of risk management on fraud prevention</w:t>
      </w:r>
    </w:p>
    <w:p w14:paraId="3DB52549">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 xml:space="preserve">Risk management had a weak positive zero-order correlation with fraud prevention, rather than indicating that better risk management reduces fraud prevention as per Balaka et al. (2022) and Gakpo (2021). Who found that risk management significantly and positively predicts fraud prevention and effective risk implementation respectively, but those studies did not enter corporate governance and risk management as simultaneous predictors of the same outcome. Which when entered was not significant and has a negative effect which does not support H4. Risk management having a positive zero-order correlation with fraud prevention is also consistent with Alkhyyoon et al. (2023), who found that, the effect of risk management on organisational effectiveness has an overwhelming dependence on the surrounding governance environment. </w:t>
      </w:r>
    </w:p>
    <w:p w14:paraId="0844DB87">
      <w:pPr>
        <w:widowControl/>
        <w:suppressAutoHyphens/>
        <w:bidi w:val="0"/>
        <w:spacing w:before="0" w:beforeAutospacing="0" w:after="0" w:afterAutospacing="0" w:line="480" w:lineRule="auto"/>
        <w:ind w:left="262" w:leftChars="109" w:firstLine="621" w:firstLineChars="259"/>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Although internal control systems are intended to reduce fraud, their effectiveness is based on the ethical standards of the organisation and how effectively they are implemented. The non-significant negative coefficient suggests that strict risk management procedures will only be seen as bureaucratic red tape instead of being seen as effective deterrents.</w:t>
      </w:r>
    </w:p>
    <w:p w14:paraId="59F1AD1C">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The absence of statistical significance for H4 suggests a discrepancy between the organization's actual actions and the application of risk management procedures. Instead of being a useful instrument for identifying and preventing fraudulent activities, risk management procedures are usually implemented in many institutions as a mere symbolic gesture to meet legal requirements. According to Alkhyyoon et al. (2023), the dependence on the governance context emphasises that risk management does not function independently.</w:t>
      </w:r>
    </w:p>
    <w:p w14:paraId="6AF25F8F">
      <w:pPr>
        <w:widowControl/>
        <w:suppressAutoHyphens/>
        <w:bidi w:val="0"/>
        <w:spacing w:before="0" w:beforeAutospacing="0" w:after="0" w:afterAutospacing="0" w:line="480" w:lineRule="auto"/>
        <w:ind w:left="0" w:leftChars="0" w:firstLine="0" w:firstLineChars="0"/>
        <w:jc w:val="both"/>
        <w:rPr>
          <w:rFonts w:hint="default" w:ascii="Times New Roman" w:hAnsi="Times New Roman" w:eastAsia="Times New Roman" w:cs="Times New Roman"/>
          <w:color w:val="auto"/>
          <w:kern w:val="0"/>
          <w:sz w:val="24"/>
          <w:szCs w:val="24"/>
          <w:lang w:val="en-US"/>
          <w14:ligatures w14:val="none"/>
        </w:rPr>
      </w:pPr>
    </w:p>
    <w:p w14:paraId="49FC64B7">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b/>
          <w:bCs/>
          <w:color w:val="auto"/>
          <w:kern w:val="0"/>
          <w:sz w:val="24"/>
          <w:szCs w:val="24"/>
          <w:lang w:val="en-US"/>
          <w14:ligatures w14:val="none"/>
        </w:rPr>
        <w:t>Research Objective 3: Mediating effect of fraud prevention on the relationship between corporate governance, risk management and organisational effectiveness</w:t>
      </w:r>
    </w:p>
    <w:p w14:paraId="46956E3C">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H1 and H2 are supported, however H5 is not, and neither are H6 or H7. Corporate governance and risk management have a significant effect on organisational effectiveness. Fraud prevention does not have a significant effect on organisational effectiveness and the   correlation between the two constructs is weak and non significant, hence the rejection of H5. This suggests that fraud prevention does not function as a significant mediator regardless of the predictive strength of corporate governance and risk management. The direct effects of H1 and H2 agree with Herawaty and Hernando (2020), who identified a significant direct governance effectiveness pathway alongside an indirect one, but the absence of mediation (H6 and H7) contrasts with Balaka et al. (2022), who established fraud prevention as a critical mediating pathway between governance and risk management controls and organisational performance, and Alkhyyoon et al. (2023), who linked risk management's performance benefits to fraud outcomes.</w:t>
      </w:r>
    </w:p>
    <w:p w14:paraId="6A25428F">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The non significant mediation of fraud prevention results from the fraud prevention scale, as its reliability test is below the 0.70 threshold (</w:t>
      </w:r>
      <w:r>
        <w:rPr>
          <w:rFonts w:hint="default" w:ascii="Times New Roman" w:hAnsi="Times New Roman" w:eastAsia="Times New Roman" w:cs="Times New Roman"/>
          <w:i/>
          <w:iCs/>
          <w:color w:val="auto"/>
          <w:kern w:val="0"/>
          <w:sz w:val="24"/>
          <w:szCs w:val="24"/>
          <w:lang w:val="en-US"/>
          <w14:ligatures w14:val="none"/>
        </w:rPr>
        <w:t>see table 4</w:t>
      </w:r>
      <w:r>
        <w:rPr>
          <w:rFonts w:hint="default" w:ascii="Times New Roman" w:hAnsi="Times New Roman" w:eastAsia="Times New Roman" w:cs="Times New Roman"/>
          <w:color w:val="auto"/>
          <w:kern w:val="0"/>
          <w:sz w:val="24"/>
          <w:szCs w:val="24"/>
          <w:lang w:val="en-US"/>
          <w14:ligatures w14:val="none"/>
        </w:rPr>
        <w:t>), which mostly is due to the accounting items (</w:t>
      </w:r>
      <w:r>
        <w:rPr>
          <w:rFonts w:hint="default" w:ascii="Times New Roman" w:hAnsi="Times New Roman" w:eastAsia="Times New Roman" w:cs="Times New Roman"/>
          <w:i/>
          <w:iCs/>
          <w:color w:val="auto"/>
          <w:kern w:val="0"/>
          <w:sz w:val="24"/>
          <w:szCs w:val="24"/>
          <w:lang w:val="en-US"/>
          <w14:ligatures w14:val="none"/>
        </w:rPr>
        <w:t>see table 4</w:t>
      </w:r>
      <w:r>
        <w:rPr>
          <w:rFonts w:hint="default" w:ascii="Times New Roman" w:hAnsi="Times New Roman" w:eastAsia="Times New Roman" w:cs="Times New Roman"/>
          <w:color w:val="auto"/>
          <w:kern w:val="0"/>
          <w:sz w:val="24"/>
          <w:szCs w:val="24"/>
          <w:lang w:val="en-US"/>
          <w14:ligatures w14:val="none"/>
        </w:rPr>
        <w:t>) that correlated negatively with the rest of the scale, which weakens the ability of the construct to detect the true mediation relationship.</w:t>
      </w:r>
    </w:p>
    <w:p w14:paraId="715EBE43">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Times New Roman" w:cs="Times New Roman"/>
          <w:color w:val="auto"/>
          <w:kern w:val="0"/>
          <w:sz w:val="24"/>
          <w:szCs w:val="24"/>
          <w:lang w:val="en-US"/>
          <w14:ligatures w14:val="none"/>
        </w:rPr>
        <w:t xml:space="preserve"> Both corporate governance and risk management affect organisational effectiveness directly (H1 and H2), Corporate governance and risk management directly affect organisational effectiveness (H1 and H2). This may be due to good decision making, accountability and stakeholder confidence rather than through their effects on fraud prevention (H6 and H7). This does not mean fraud prevention is unimportant, but it means that with this this sample the mediating role of fraud prevention could not be statistically confirmed. Given the reliability concerns of the fraud prevention scale noted in (</w:t>
      </w:r>
      <w:r>
        <w:rPr>
          <w:rFonts w:hint="default" w:ascii="Times New Roman" w:hAnsi="Times New Roman" w:eastAsia="Times New Roman" w:cs="Times New Roman"/>
          <w:i/>
          <w:iCs/>
          <w:color w:val="auto"/>
          <w:kern w:val="0"/>
          <w:sz w:val="24"/>
          <w:szCs w:val="24"/>
          <w:lang w:val="en-US"/>
          <w14:ligatures w14:val="none"/>
        </w:rPr>
        <w:t>table 4</w:t>
      </w:r>
      <w:r>
        <w:rPr>
          <w:rFonts w:hint="default" w:ascii="Times New Roman" w:hAnsi="Times New Roman" w:eastAsia="Times New Roman" w:cs="Times New Roman"/>
          <w:color w:val="auto"/>
          <w:kern w:val="0"/>
          <w:sz w:val="24"/>
          <w:szCs w:val="24"/>
          <w:lang w:val="en-US"/>
          <w14:ligatures w14:val="none"/>
        </w:rPr>
        <w:t>), this study cannot rule out that a adequate measure of fraud prevention would reveal the mediating pathway that the literature suggests should be present.</w:t>
      </w:r>
    </w:p>
    <w:p w14:paraId="6FBE315B">
      <w:pPr>
        <w:widowControl/>
        <w:suppressAutoHyphens/>
        <w:bidi w:val="0"/>
        <w:spacing w:before="120" w:after="120" w:line="480" w:lineRule="auto"/>
        <w:ind w:left="0" w:leftChars="0" w:firstLine="0" w:firstLineChars="0"/>
        <w:jc w:val="both"/>
        <w:rPr>
          <w:rFonts w:hint="default" w:ascii="Times New Roman" w:hAnsi="Times New Roman" w:eastAsia="Times New Roman" w:cs="Times New Roman"/>
          <w:b/>
          <w:bCs/>
          <w:color w:val="auto"/>
          <w:kern w:val="0"/>
          <w:sz w:val="24"/>
          <w:szCs w:val="24"/>
          <w:lang w:val="en-US"/>
          <w14:ligatures w14:val="none"/>
        </w:rPr>
      </w:pPr>
      <w:r>
        <w:rPr>
          <w:rFonts w:hint="default" w:ascii="Times New Roman" w:hAnsi="Times New Roman" w:eastAsia="Times New Roman" w:cs="Times New Roman"/>
          <w:b/>
          <w:bCs/>
          <w:color w:val="auto"/>
          <w:kern w:val="0"/>
          <w:sz w:val="24"/>
          <w:szCs w:val="24"/>
          <w:lang w:val="en-US"/>
          <w14:ligatures w14:val="none"/>
        </w:rPr>
        <w:t>Chapter summary</w:t>
      </w:r>
    </w:p>
    <w:p w14:paraId="0CA28BEC">
      <w:pPr>
        <w:widowControl/>
        <w:suppressAutoHyphens/>
        <w:bidi w:val="0"/>
        <w:spacing w:before="0" w:beforeAutospacing="0" w:after="0" w:afterAutospacing="0" w:line="480" w:lineRule="auto"/>
        <w:ind w:left="0" w:firstLine="680"/>
        <w:jc w:val="both"/>
        <w:rPr>
          <w:rFonts w:hint="default" w:ascii="Times New Roman" w:hAnsi="Times New Roman" w:eastAsia="Times New Roman" w:cs="Times New Roman"/>
          <w:b w:val="0"/>
          <w:bCs w:val="0"/>
          <w:color w:val="auto"/>
          <w:kern w:val="0"/>
          <w:sz w:val="24"/>
          <w:szCs w:val="24"/>
          <w:lang w:val="en-US"/>
          <w14:ligatures w14:val="none"/>
        </w:rPr>
      </w:pPr>
      <w:r>
        <w:rPr>
          <w:rFonts w:hint="default" w:ascii="Times New Roman" w:hAnsi="Times New Roman" w:eastAsia="Times New Roman" w:cs="Times New Roman"/>
          <w:b w:val="0"/>
          <w:bCs w:val="0"/>
          <w:color w:val="auto"/>
          <w:kern w:val="0"/>
          <w:sz w:val="24"/>
          <w:szCs w:val="24"/>
          <w:lang w:val="en-US"/>
          <w14:ligatures w14:val="none"/>
        </w:rPr>
        <w:t xml:space="preserve">The study used both descriptive and inferential statistics to examine the role of corporate governance and risk management in fraud prevention and organisational effectiveness among 50 respondents from selected Ghanaian firms, using a quantitative research design. Corporate governance and risk management were both measured with good reliability as was organisational effectiveness but fraud prevention fell below reliability threshold. Corporate governance and risk management each had a significant positive total effect on organisational effectiveness. Corporate governance significantly predicted fraud prevention. Risk management did not significantly predict fraud prevention when corporate governance was added, and fraud prevention did not significantly predict organisational effectiveness. Fraud prevention did not mediate either the effectiveness of corporate governance nor the effectiveness risk management relationship. Corporate governance and risk management each related strongly and directly to organisational effectiveness. </w:t>
      </w:r>
    </w:p>
    <w:p w14:paraId="441E1151">
      <w:pPr>
        <w:widowControl/>
        <w:tabs>
          <w:tab w:val="left" w:pos="2278"/>
        </w:tabs>
        <w:suppressAutoHyphens/>
        <w:bidi w:val="0"/>
        <w:spacing w:before="120" w:after="120" w:line="480" w:lineRule="auto"/>
        <w:ind w:firstLine="0"/>
        <w:jc w:val="both"/>
        <w:rPr>
          <w:rFonts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b w:val="0"/>
          <w:bCs w:val="0"/>
          <w:color w:val="auto"/>
          <w:kern w:val="0"/>
          <w:sz w:val="24"/>
          <w:szCs w:val="24"/>
          <w:lang w:val="en-US"/>
          <w14:ligatures w14:val="none"/>
        </w:rPr>
        <w:t>T</w:t>
      </w:r>
      <w:r>
        <w:rPr>
          <w:rFonts w:ascii="Times New Roman" w:hAnsi="Times New Roman" w:eastAsia="Times New Roman" w:cs="Times New Roman"/>
          <w:color w:val="auto"/>
          <w:kern w:val="0"/>
          <w:sz w:val="24"/>
          <w:szCs w:val="24"/>
          <w:lang w:val="en-US"/>
          <w14:ligatures w14:val="none"/>
        </w:rPr>
        <w:t>he next chapter presents the summary and conclusions, recommendations and limitations of study as well as directions for future research.</w:t>
      </w:r>
    </w:p>
    <w:p w14:paraId="618EA3C4">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50BD6757">
      <w:pPr>
        <w:widowControl/>
        <w:tabs>
          <w:tab w:val="left" w:pos="2278"/>
        </w:tabs>
        <w:suppressAutoHyphens/>
        <w:bidi w:val="0"/>
        <w:spacing w:before="120" w:after="120" w:line="480" w:lineRule="auto"/>
        <w:ind w:firstLine="0"/>
        <w:jc w:val="left"/>
        <w:rPr>
          <w:rFonts w:ascii="Times New Roman" w:hAnsi="Times New Roman" w:eastAsia="Times New Roman" w:cs="Times New Roman"/>
          <w:color w:val="auto"/>
          <w:kern w:val="0"/>
          <w:lang w:val="en-US"/>
          <w14:ligatures w14:val="none"/>
        </w:rPr>
      </w:pPr>
    </w:p>
    <w:p w14:paraId="23162768">
      <w:pPr>
        <w:widowControl/>
        <w:suppressAutoHyphens/>
        <w:bidi w:val="0"/>
        <w:spacing w:before="480" w:after="80" w:line="240" w:lineRule="auto"/>
        <w:jc w:val="both"/>
        <w:outlineLvl w:val="0"/>
        <w:rPr>
          <w:rFonts w:ascii="Times New Roman" w:hAnsi="Times New Roman" w:eastAsia="Times New Roman" w:cs="Times New Roman"/>
          <w:b/>
          <w:bCs/>
          <w:color w:val="000000"/>
          <w:kern w:val="0"/>
          <w:sz w:val="28"/>
          <w:szCs w:val="28"/>
          <w:lang w:val="en-US" w:eastAsia="en-US" w:bidi="ar-SA"/>
          <w14:ligatures w14:val="none"/>
        </w:rPr>
      </w:pPr>
      <w:bookmarkStart w:id="93" w:name="__RefHeading___Toc3694_3370473891"/>
      <w:bookmarkEnd w:id="93"/>
      <w:bookmarkStart w:id="94" w:name="__RefHeading___Toc3746_3370473891"/>
      <w:bookmarkEnd w:id="94"/>
    </w:p>
    <w:p w14:paraId="73834391">
      <w:pPr>
        <w:widowControl/>
        <w:suppressAutoHyphens/>
        <w:bidi w:val="0"/>
        <w:spacing w:before="480" w:after="80" w:line="24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r>
        <w:rPr>
          <w:rFonts w:ascii="Times New Roman" w:hAnsi="Times New Roman" w:eastAsia="Times New Roman" w:cs="Times New Roman"/>
          <w:b/>
          <w:bCs/>
          <w:color w:val="000000"/>
          <w:kern w:val="0"/>
          <w:sz w:val="28"/>
          <w:szCs w:val="28"/>
          <w:lang w:val="en-US" w:eastAsia="en-US" w:bidi="ar-SA"/>
          <w14:ligatures w14:val="none"/>
        </w:rPr>
        <w:t>CHAPTER FIVE</w:t>
      </w:r>
    </w:p>
    <w:p w14:paraId="24AC6D5B">
      <w:pPr>
        <w:widowControl/>
        <w:suppressAutoHyphens/>
        <w:bidi w:val="0"/>
        <w:spacing w:before="480" w:after="80" w:line="240" w:lineRule="auto"/>
        <w:jc w:val="center"/>
        <w:outlineLvl w:val="0"/>
        <w:rPr>
          <w:rFonts w:ascii="Times New Roman" w:hAnsi="Times New Roman" w:eastAsia="Times New Roman" w:cs="Times New Roman"/>
          <w:b/>
          <w:bCs/>
          <w:color w:val="000000"/>
          <w:kern w:val="0"/>
          <w:sz w:val="28"/>
          <w:szCs w:val="28"/>
          <w:lang w:val="en-US" w:eastAsia="en-US" w:bidi="ar-SA"/>
          <w14:ligatures w14:val="none"/>
        </w:rPr>
      </w:pPr>
      <w:bookmarkStart w:id="95" w:name="__RefHeading___Toc3748_3370473891"/>
      <w:bookmarkEnd w:id="95"/>
      <w:r>
        <w:rPr>
          <w:rFonts w:ascii="Times New Roman" w:hAnsi="Times New Roman" w:eastAsia="Times New Roman" w:cs="Times New Roman"/>
          <w:b/>
          <w:bCs/>
          <w:color w:val="000000"/>
          <w:kern w:val="0"/>
          <w:sz w:val="28"/>
          <w:szCs w:val="28"/>
          <w:lang w:val="en-US" w:eastAsia="en-US" w:bidi="ar-SA"/>
          <w14:ligatures w14:val="none"/>
        </w:rPr>
        <w:t>SUMMARY, CONCLUSIONS AND RECOMMENDATIONS</w:t>
      </w:r>
    </w:p>
    <w:p w14:paraId="7E71220E">
      <w:pPr>
        <w:widowControl/>
        <w:suppressAutoHyphens/>
        <w:bidi w:val="0"/>
        <w:spacing w:before="240" w:after="160" w:line="24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96" w:name="__RefHeading___Toc3750_3370473891"/>
      <w:bookmarkEnd w:id="96"/>
      <w:r>
        <w:rPr>
          <w:rFonts w:ascii="Times New Roman" w:hAnsi="Times New Roman" w:eastAsia="Times New Roman" w:cs="Times New Roman"/>
          <w:b/>
          <w:bCs/>
          <w:color w:val="000000"/>
          <w:kern w:val="0"/>
          <w:sz w:val="24"/>
          <w:szCs w:val="24"/>
          <w:lang w:val="en-US" w:eastAsia="en-US" w:bidi="ar-SA"/>
          <w14:ligatures w14:val="none"/>
        </w:rPr>
        <w:t>Introduction</w:t>
      </w:r>
    </w:p>
    <w:p w14:paraId="41932D1E">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This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 xml:space="preserve">chapter </w:t>
      </w:r>
      <w:r>
        <w:rPr>
          <w:rFonts w:hint="default" w:ascii="Times New Roman" w:hAnsi="Times New Roman" w:eastAsia="Times New Roman" w:cs="Times New Roman"/>
          <w:color w:val="auto"/>
          <w:kern w:val="0"/>
          <w:lang w:val="en-US"/>
          <w14:ligatures w14:val="none"/>
        </w:rPr>
        <w:t>provides a summary of</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c</w:t>
      </w:r>
      <w:r>
        <w:rPr>
          <w:rFonts w:ascii="Times New Roman" w:hAnsi="Times New Roman" w:eastAsia="Times New Roman" w:cs="Times New Roman"/>
          <w:color w:val="auto"/>
          <w:kern w:val="0"/>
          <w:lang w:val="en-US"/>
          <w14:ligatures w14:val="none"/>
        </w:rPr>
        <w:t xml:space="preserve">hapter </w:t>
      </w:r>
      <w:r>
        <w:rPr>
          <w:rFonts w:hint="default" w:ascii="Times New Roman" w:hAnsi="Times New Roman" w:eastAsia="Times New Roman" w:cs="Times New Roman"/>
          <w:color w:val="auto"/>
          <w:kern w:val="0"/>
          <w:lang w:val="en-US"/>
          <w14:ligatures w14:val="none"/>
        </w:rPr>
        <w:t>f</w:t>
      </w:r>
      <w:r>
        <w:rPr>
          <w:rFonts w:ascii="Times New Roman" w:hAnsi="Times New Roman" w:eastAsia="Times New Roman" w:cs="Times New Roman"/>
          <w:color w:val="auto"/>
          <w:kern w:val="0"/>
          <w:lang w:val="en-US"/>
          <w14:ligatures w14:val="none"/>
        </w:rPr>
        <w:t>our, sets out the implications of the results for the sampled Ghanaian firms and for future researchers, and identifies the study</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s limitations.</w:t>
      </w:r>
    </w:p>
    <w:p w14:paraId="3117299A">
      <w:pPr>
        <w:widowControl/>
        <w:suppressAutoHyphens/>
        <w:bidi w:val="0"/>
        <w:spacing w:before="240" w:after="160" w:line="24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97" w:name="__RefHeading___Toc3752_3370473891"/>
      <w:bookmarkEnd w:id="97"/>
      <w:r>
        <w:rPr>
          <w:rFonts w:ascii="Times New Roman" w:hAnsi="Times New Roman" w:eastAsia="Times New Roman" w:cs="Times New Roman"/>
          <w:b/>
          <w:bCs/>
          <w:color w:val="000000"/>
          <w:kern w:val="0"/>
          <w:sz w:val="24"/>
          <w:szCs w:val="24"/>
          <w:lang w:val="en-US" w:eastAsia="en-US" w:bidi="ar-SA"/>
          <w14:ligatures w14:val="none"/>
        </w:rPr>
        <w:t>Summary of Findings</w:t>
      </w:r>
    </w:p>
    <w:p w14:paraId="21755394">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This study set out to examine corporate governance and risk management as strategic tools for fraud prevention, and the effect of fraud prevention on organisational effectiveness, among selected Ghanaian firms. 50 usable responses were collected through an online questionnaire and analysed. The results are summarised below:</w:t>
      </w:r>
    </w:p>
    <w:p w14:paraId="50D7F07C">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H1 was supported: corporate governance significantly predicted organisational effectiveness (B = 0.684, p &lt; .001</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i/>
          <w:iCs/>
          <w:color w:val="auto"/>
          <w:kern w:val="0"/>
          <w:lang w:val="en-US"/>
          <w14:ligatures w14:val="none"/>
        </w:rPr>
        <w:t>see Table</w:t>
      </w:r>
      <w:r>
        <w:rPr>
          <w:rFonts w:hint="default" w:ascii="Times New Roman" w:hAnsi="Times New Roman" w:eastAsia="Times New Roman" w:cs="Times New Roman"/>
          <w:i/>
          <w:iCs/>
          <w:color w:val="auto"/>
          <w:kern w:val="0"/>
          <w:lang w:val="en-US"/>
          <w14:ligatures w14:val="none"/>
        </w:rPr>
        <w:t xml:space="preserve"> </w:t>
      </w:r>
      <w:r>
        <w:rPr>
          <w:rFonts w:ascii="Times New Roman" w:hAnsi="Times New Roman" w:eastAsia="Times New Roman" w:cs="Times New Roman"/>
          <w:i/>
          <w:iCs/>
          <w:color w:val="auto"/>
          <w:kern w:val="0"/>
          <w:lang w:val="en-US"/>
          <w14:ligatures w14:val="none"/>
        </w:rPr>
        <w:t>11</w:t>
      </w:r>
      <w:r>
        <w:rPr>
          <w:rFonts w:ascii="Times New Roman" w:hAnsi="Times New Roman" w:eastAsia="Times New Roman" w:cs="Times New Roman"/>
          <w:color w:val="auto"/>
          <w:kern w:val="0"/>
          <w:lang w:val="en-US"/>
          <w14:ligatures w14:val="none"/>
        </w:rPr>
        <w:t>). H2 was supported: risk management significantly predicted organisational effectiveness (B = 0.678, p &lt; .001</w:t>
      </w:r>
      <w:r>
        <w:rPr>
          <w:rFonts w:hint="default" w:ascii="Times New Roman" w:hAnsi="Times New Roman" w:eastAsia="Times New Roman" w:cs="Times New Roman"/>
          <w:color w:val="auto"/>
          <w:kern w:val="0"/>
          <w:lang w:val="en-US"/>
          <w14:ligatures w14:val="none"/>
        </w:rPr>
        <w:t>) (</w:t>
      </w:r>
      <w:r>
        <w:rPr>
          <w:rFonts w:ascii="Times New Roman" w:hAnsi="Times New Roman" w:eastAsia="Times New Roman" w:cs="Times New Roman"/>
          <w:i/>
          <w:iCs/>
          <w:color w:val="auto"/>
          <w:kern w:val="0"/>
          <w:lang w:val="en-US"/>
          <w14:ligatures w14:val="none"/>
        </w:rPr>
        <w:t xml:space="preserve"> see Table</w:t>
      </w:r>
      <w:r>
        <w:rPr>
          <w:rFonts w:hint="default" w:ascii="Times New Roman" w:hAnsi="Times New Roman" w:eastAsia="Times New Roman" w:cs="Times New Roman"/>
          <w:i/>
          <w:iCs/>
          <w:color w:val="auto"/>
          <w:kern w:val="0"/>
          <w:lang w:val="en-US"/>
          <w14:ligatures w14:val="none"/>
        </w:rPr>
        <w:t xml:space="preserve"> </w:t>
      </w:r>
      <w:r>
        <w:rPr>
          <w:rFonts w:ascii="Times New Roman" w:hAnsi="Times New Roman" w:eastAsia="Times New Roman" w:cs="Times New Roman"/>
          <w:i/>
          <w:iCs/>
          <w:color w:val="auto"/>
          <w:kern w:val="0"/>
          <w:lang w:val="en-US"/>
          <w14:ligatures w14:val="none"/>
        </w:rPr>
        <w:t>11</w:t>
      </w:r>
      <w:r>
        <w:rPr>
          <w:rFonts w:ascii="Times New Roman" w:hAnsi="Times New Roman" w:eastAsia="Times New Roman" w:cs="Times New Roman"/>
          <w:color w:val="auto"/>
          <w:kern w:val="0"/>
          <w:lang w:val="en-US"/>
          <w14:ligatures w14:val="none"/>
        </w:rPr>
        <w:t>). H3 was supported: corporate governance significantly predicted fraud prevention (β = 0.731, p = 0.011</w:t>
      </w:r>
      <w:r>
        <w:rPr>
          <w:rFonts w:hint="default" w:ascii="Times New Roman" w:hAnsi="Times New Roman" w:eastAsia="Times New Roman" w:cs="Times New Roman"/>
          <w:color w:val="auto"/>
          <w:kern w:val="0"/>
          <w:lang w:val="en-US"/>
          <w14:ligatures w14:val="none"/>
        </w:rPr>
        <w:t>) (</w:t>
      </w:r>
      <w:r>
        <w:rPr>
          <w:rFonts w:ascii="Times New Roman" w:hAnsi="Times New Roman" w:eastAsia="Times New Roman" w:cs="Times New Roman"/>
          <w:i/>
          <w:iCs/>
          <w:color w:val="auto"/>
          <w:kern w:val="0"/>
          <w:lang w:val="en-US"/>
          <w14:ligatures w14:val="none"/>
        </w:rPr>
        <w:t>see Table 11</w:t>
      </w:r>
      <w:r>
        <w:rPr>
          <w:rFonts w:ascii="Times New Roman" w:hAnsi="Times New Roman" w:eastAsia="Times New Roman" w:cs="Times New Roman"/>
          <w:color w:val="auto"/>
          <w:kern w:val="0"/>
          <w:lang w:val="en-US"/>
          <w14:ligatures w14:val="none"/>
        </w:rPr>
        <w:t>). H4 was not supported: risk management did not significantly predict fraud prevention once corporate governance was controlled for (β = -0.490, p = 0.080</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i/>
          <w:iCs/>
          <w:color w:val="auto"/>
          <w:kern w:val="0"/>
          <w:lang w:val="en-US"/>
          <w14:ligatures w14:val="none"/>
        </w:rPr>
        <w:t>see Table 11</w:t>
      </w:r>
      <w:r>
        <w:rPr>
          <w:rFonts w:ascii="Times New Roman" w:hAnsi="Times New Roman" w:eastAsia="Times New Roman" w:cs="Times New Roman"/>
          <w:color w:val="auto"/>
          <w:kern w:val="0"/>
          <w:lang w:val="en-US"/>
          <w14:ligatures w14:val="none"/>
        </w:rPr>
        <w:t>). H5 was not supported: fraud prevention did not significantly predict organisational effectiveness (β = 0.127, p = 0.379</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i/>
          <w:iCs/>
          <w:color w:val="auto"/>
          <w:kern w:val="0"/>
          <w:lang w:val="en-US"/>
          <w14:ligatures w14:val="none"/>
        </w:rPr>
        <w:t>see Table 11</w:t>
      </w:r>
      <w:r>
        <w:rPr>
          <w:rFonts w:ascii="Times New Roman" w:hAnsi="Times New Roman" w:eastAsia="Times New Roman" w:cs="Times New Roman"/>
          <w:color w:val="auto"/>
          <w:kern w:val="0"/>
          <w:lang w:val="en-US"/>
          <w14:ligatures w14:val="none"/>
        </w:rPr>
        <w:t>).</w:t>
      </w:r>
    </w:p>
    <w:p w14:paraId="5FD11C96">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H6 and H7, which proposed that fraud prevention mediates the relationship between corporate governance and organisational effectiveness, and between risk management and organisational effectiveness respectively, were not supported. The PROCESS macro bootstrap indicated non-significant indirect effects in both models (H6: ab = -0.033, 95% BCa CI [-0.104, 0.003]; H7: ab = 0.002, 95% BCa CI [-0.027, 0.062]</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i/>
          <w:iCs/>
          <w:color w:val="auto"/>
          <w:kern w:val="0"/>
          <w:lang w:val="en-US"/>
          <w14:ligatures w14:val="none"/>
        </w:rPr>
        <w:t>see Table 12</w:t>
      </w:r>
      <w:r>
        <w:rPr>
          <w:rFonts w:ascii="Times New Roman" w:hAnsi="Times New Roman" w:eastAsia="Times New Roman" w:cs="Times New Roman"/>
          <w:color w:val="auto"/>
          <w:kern w:val="0"/>
          <w:lang w:val="en-US"/>
          <w14:ligatures w14:val="none"/>
        </w:rPr>
        <w:t>). Corporate governance and risk management together explained 15.0% of the variance in fraud prevention, and fraud prevention alone explained only 1.6% of the variance in organisational effectiveness. Reliability was strong for corporate governance (α = 0.95), risk management (α = 0.88) and organisational effectiveness (α = 0.96), but fell below the 0.70 threshold for fraud prevention (α = 0.66</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 xml:space="preserve"> </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i/>
          <w:iCs/>
          <w:color w:val="auto"/>
          <w:kern w:val="0"/>
          <w:lang w:val="en-US"/>
          <w14:ligatures w14:val="none"/>
        </w:rPr>
        <w:t>see Tables 2 to 5</w:t>
      </w:r>
      <w:r>
        <w:rPr>
          <w:rFonts w:ascii="Times New Roman" w:hAnsi="Times New Roman" w:eastAsia="Times New Roman" w:cs="Times New Roman"/>
          <w:color w:val="auto"/>
          <w:kern w:val="0"/>
          <w:lang w:val="en-US"/>
          <w14:ligatures w14:val="none"/>
        </w:rPr>
        <w:t>).</w:t>
      </w:r>
    </w:p>
    <w:p w14:paraId="1FF0274E">
      <w:pPr>
        <w:widowControl/>
        <w:suppressAutoHyphens/>
        <w:bidi w:val="0"/>
        <w:spacing w:before="240" w:after="160" w:line="24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98" w:name="__RefHeading___Toc3754_3370473891"/>
      <w:bookmarkEnd w:id="98"/>
      <w:r>
        <w:rPr>
          <w:rFonts w:ascii="Times New Roman" w:hAnsi="Times New Roman" w:eastAsia="Times New Roman" w:cs="Times New Roman"/>
          <w:b/>
          <w:bCs/>
          <w:color w:val="000000"/>
          <w:kern w:val="0"/>
          <w:sz w:val="24"/>
          <w:szCs w:val="24"/>
          <w:lang w:val="en-US" w:eastAsia="en-US" w:bidi="ar-SA"/>
          <w14:ligatures w14:val="none"/>
        </w:rPr>
        <w:t>Conclusion</w:t>
      </w:r>
    </w:p>
    <w:p w14:paraId="087AF79C">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results suggests that, among the sampled firms, corporate governance is the more consistent strategic tool for fraud prevention: it predicted fraud prevention significantly on its own terms, in line with Agency Theory</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s account of governance structures closing the opportunity and rationalisation elements of the Fraud Triangle. Risk management's relationship with fraud prevention could not be confirmed once its considerable overlap with corporate governance was accounted for, which suggests these firms may be building risk management as an extension of their governance structures rather than as a functionally distinct discipline, echoing the institutional-isomorphism argument that governance and risk practices often move together in response to shared regulatory pressure rather than as independently adopted strategic choices.</w:t>
      </w:r>
    </w:p>
    <w:p w14:paraId="1A7DA757">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The more striking result is that fraud prevention, as measured here, did not act as the mediating mechanism the conceptual framework proposed. Corporate governance and risk management both related strongly and directly to organisational effectiveness, with effect sizes that were essentially unchanged whether or not fraud prevention was included in the model. </w:t>
      </w:r>
      <w:r>
        <w:rPr>
          <w:rFonts w:hint="default" w:ascii="Times New Roman" w:hAnsi="Times New Roman" w:eastAsia="Times New Roman" w:cs="Times New Roman"/>
          <w:color w:val="auto"/>
          <w:kern w:val="0"/>
          <w:lang w:val="en-US"/>
          <w14:ligatures w14:val="none"/>
        </w:rPr>
        <w:t>With</w:t>
      </w:r>
      <w:r>
        <w:rPr>
          <w:rFonts w:ascii="Times New Roman" w:hAnsi="Times New Roman" w:eastAsia="Times New Roman" w:cs="Times New Roman"/>
          <w:color w:val="auto"/>
          <w:kern w:val="0"/>
          <w:lang w:val="en-US"/>
          <w14:ligatures w14:val="none"/>
        </w:rPr>
        <w:t xml:space="preserve"> fraud prevention</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s below-threshold reliability, this points to two</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possibilities that Ghanaian firms and future researchers should take seriously: either fraud prevention genuinely operates as a protective, loss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avoiding function that is separate from the day-to-day drivers of effectiveness, or the fifteen</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item instrument used here did not capture fraud prevention cleanly enough to detect a mediating effect that a better</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specified scale might reveal. Either way, the practical implication is the same: firms should not assume that investing in governance and risk management pays off for effectiveness only, or even mainly, by reducing fraud, and should evaluate the two sets of benefits separately rather than treating fraud prevention as the sole channel through which governance investment matters.</w:t>
      </w:r>
    </w:p>
    <w:p w14:paraId="5402E4F0">
      <w:pPr>
        <w:widowControl/>
        <w:suppressAutoHyphens/>
        <w:bidi w:val="0"/>
        <w:spacing w:before="240" w:after="160" w:line="240" w:lineRule="auto"/>
        <w:jc w:val="both"/>
        <w:outlineLvl w:val="1"/>
        <w:rPr>
          <w:rFonts w:ascii="Times New Roman" w:hAnsi="Times New Roman" w:eastAsia="Times New Roman" w:cs="Times New Roman"/>
          <w:b/>
          <w:bCs/>
          <w:color w:val="000000"/>
          <w:kern w:val="0"/>
          <w:sz w:val="24"/>
          <w:szCs w:val="24"/>
          <w:lang w:val="en-US" w:eastAsia="en-US" w:bidi="ar-SA"/>
          <w14:ligatures w14:val="none"/>
        </w:rPr>
      </w:pPr>
      <w:bookmarkStart w:id="99" w:name="__RefHeading___Toc3756_3370473891"/>
      <w:bookmarkEnd w:id="99"/>
      <w:r>
        <w:rPr>
          <w:rFonts w:ascii="Times New Roman" w:hAnsi="Times New Roman" w:eastAsia="Times New Roman" w:cs="Times New Roman"/>
          <w:b/>
          <w:bCs/>
          <w:color w:val="000000"/>
          <w:kern w:val="0"/>
          <w:sz w:val="24"/>
          <w:szCs w:val="24"/>
          <w:lang w:val="en-US" w:eastAsia="en-US" w:bidi="ar-SA"/>
          <w14:ligatures w14:val="none"/>
        </w:rPr>
        <w:t>Recommendations</w:t>
      </w:r>
    </w:p>
    <w:p w14:paraId="19898BE4">
      <w:pPr>
        <w:widowControl/>
        <w:suppressAutoHyphens/>
        <w:bidi w:val="0"/>
        <w:spacing w:before="160" w:after="120" w:line="240" w:lineRule="auto"/>
        <w:jc w:val="both"/>
        <w:outlineLvl w:val="2"/>
        <w:rPr>
          <w:rFonts w:ascii="Times New Roman" w:hAnsi="Times New Roman" w:eastAsia="Times New Roman" w:cs="Times New Roman"/>
          <w:b/>
          <w:bCs/>
          <w:i/>
          <w:iCs/>
          <w:color w:val="000000"/>
          <w:kern w:val="0"/>
          <w:sz w:val="24"/>
          <w:szCs w:val="24"/>
          <w:lang w:val="en-US" w:eastAsia="en-US" w:bidi="ar-SA"/>
          <w14:ligatures w14:val="none"/>
        </w:rPr>
      </w:pPr>
      <w:bookmarkStart w:id="100" w:name="__RefHeading___Toc3758_3370473891"/>
      <w:bookmarkEnd w:id="100"/>
      <w:r>
        <w:rPr>
          <w:rFonts w:ascii="Times New Roman" w:hAnsi="Times New Roman" w:eastAsia="Times New Roman" w:cs="Times New Roman"/>
          <w:b/>
          <w:bCs/>
          <w:i/>
          <w:iCs/>
          <w:color w:val="000000"/>
          <w:kern w:val="0"/>
          <w:sz w:val="24"/>
          <w:szCs w:val="24"/>
          <w:lang w:val="en-US" w:eastAsia="en-US" w:bidi="ar-SA"/>
          <w14:ligatures w14:val="none"/>
        </w:rPr>
        <w:t>Recommendations for the sampled firms</w:t>
      </w:r>
    </w:p>
    <w:p w14:paraId="57C561D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Since corporate governance significantly predicts fraud prevention, firms should prioritise the specific governance mechanisms this study measured, namely board oversight, strategic planning discipline, and enforcement of codes of conduct, rather than treating governance adoption as a generic, one-size-fits-all exercise.</w:t>
      </w:r>
    </w:p>
    <w:p w14:paraId="0508CBD7">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Because risk management's independent contribution to fraud prevention could not be confirmed here, firms should review whether their risk management function operates as a genuinely distinct discipline with its own processes, personnel and reporting lines, rather than as an informal extension of governance activity.</w:t>
      </w:r>
    </w:p>
    <w:p w14:paraId="6615ADA2">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Because fraud prevention did not significantly predict organisational effectiveness in this sample, firms should continue to invest in fraud prevention primarily as a loss-control and risk</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mitigation measure, and pursue governance and risk management improvements as direct, independent levers for effectiveness rather than assuming their effectiveness benefits flow only through reduced fraud.</w:t>
      </w:r>
    </w:p>
    <w:p w14:paraId="4609C121">
      <w:pPr>
        <w:widowControl/>
        <w:suppressAutoHyphens/>
        <w:bidi w:val="0"/>
        <w:spacing w:before="160" w:after="120" w:line="240" w:lineRule="auto"/>
        <w:jc w:val="both"/>
        <w:outlineLvl w:val="2"/>
        <w:rPr>
          <w:rFonts w:ascii="Times New Roman" w:hAnsi="Times New Roman" w:eastAsia="Times New Roman" w:cs="Times New Roman"/>
          <w:b/>
          <w:bCs/>
          <w:i/>
          <w:iCs/>
          <w:color w:val="000000"/>
          <w:kern w:val="0"/>
          <w:sz w:val="24"/>
          <w:szCs w:val="24"/>
          <w:lang w:val="en-US" w:eastAsia="en-US" w:bidi="ar-SA"/>
          <w14:ligatures w14:val="none"/>
        </w:rPr>
      </w:pPr>
      <w:bookmarkStart w:id="101" w:name="__RefHeading___Toc3760_3370473891"/>
      <w:bookmarkEnd w:id="101"/>
      <w:r>
        <w:rPr>
          <w:rFonts w:ascii="Times New Roman" w:hAnsi="Times New Roman" w:eastAsia="Times New Roman" w:cs="Times New Roman"/>
          <w:b/>
          <w:bCs/>
          <w:i/>
          <w:iCs/>
          <w:color w:val="000000"/>
          <w:kern w:val="0"/>
          <w:sz w:val="24"/>
          <w:szCs w:val="24"/>
          <w:lang w:val="en-US" w:eastAsia="en-US" w:bidi="ar-SA"/>
          <w14:ligatures w14:val="none"/>
        </w:rPr>
        <w:t>Recommendations for future research</w:t>
      </w:r>
    </w:p>
    <w:p w14:paraId="29C361D2">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Future research should extend this study to a larger, more representative sample of Ghanaian firms; the 50 responses obtained here fell short of the 70</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response target set out in Chapter Three and limited the statistical power available to detect smaller effects, particularly in the mediation models.</w:t>
      </w:r>
    </w:p>
    <w:p w14:paraId="69013428">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Future studies should reconsider the fraud prevention scale used here, since three of its items (F</w:t>
      </w:r>
      <w:r>
        <w:rPr>
          <w:rFonts w:hint="default" w:ascii="Times New Roman" w:hAnsi="Times New Roman" w:eastAsia="Times New Roman" w:cs="Times New Roman"/>
          <w:color w:val="auto"/>
          <w:kern w:val="0"/>
          <w:lang w:val="en-US"/>
          <w14:ligatures w14:val="none"/>
        </w:rPr>
        <w:t>P13</w:t>
      </w:r>
      <w:r>
        <w:rPr>
          <w:rFonts w:ascii="Times New Roman" w:hAnsi="Times New Roman" w:eastAsia="Times New Roman" w:cs="Times New Roman"/>
          <w:color w:val="auto"/>
          <w:kern w:val="0"/>
          <w:lang w:val="en-US"/>
          <w14:ligatures w14:val="none"/>
        </w:rPr>
        <w:t xml:space="preserve"> to F</w:t>
      </w:r>
      <w:r>
        <w:rPr>
          <w:rFonts w:hint="default" w:ascii="Times New Roman" w:hAnsi="Times New Roman" w:eastAsia="Times New Roman" w:cs="Times New Roman"/>
          <w:color w:val="auto"/>
          <w:kern w:val="0"/>
          <w:lang w:val="en-US"/>
          <w14:ligatures w14:val="none"/>
        </w:rPr>
        <w:t>P15</w:t>
      </w:r>
      <w:r>
        <w:rPr>
          <w:rFonts w:ascii="Times New Roman" w:hAnsi="Times New Roman" w:eastAsia="Times New Roman" w:cs="Times New Roman"/>
          <w:color w:val="auto"/>
          <w:kern w:val="0"/>
          <w:lang w:val="en-US"/>
          <w14:ligatures w14:val="none"/>
        </w:rPr>
        <w:t>) correlated negatively with the rest of the scale and pulled its reliability below the</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threshold. Revisiting the wording or dropping these items may produce a cleaner measure capable of detecting the mediating role this study</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s conceptual framework proposed.</w:t>
      </w:r>
    </w:p>
    <w:p w14:paraId="3DF629C6">
      <w:pPr>
        <w:widowControl/>
        <w:suppressAutoHyphens/>
        <w:bidi w:val="0"/>
        <w:spacing w:before="120" w:after="16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Future studies could adopt a longitudinal design, and could sample firms from the financial services, energy, public procurement and telecommunications sectors in Chapter Three</w:t>
      </w:r>
      <w:r>
        <w:rPr>
          <w:rFonts w:hint="default" w:ascii="Times New Roman" w:hAnsi="Times New Roman" w:eastAsia="Times New Roman" w:cs="Times New Roman"/>
          <w:color w:val="auto"/>
          <w:kern w:val="0"/>
          <w:lang w:val="en-US"/>
          <w14:ligatures w14:val="none"/>
        </w:rPr>
        <w:t xml:space="preserve"> as well</w:t>
      </w:r>
      <w:r>
        <w:rPr>
          <w:rFonts w:ascii="Times New Roman" w:hAnsi="Times New Roman" w:eastAsia="Times New Roman" w:cs="Times New Roman"/>
          <w:color w:val="auto"/>
          <w:kern w:val="0"/>
          <w:lang w:val="en-US"/>
          <w14:ligatures w14:val="none"/>
        </w:rPr>
        <w:t>, to better establish both the direction of causality and the sector</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specific patterns that this cross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sectional, opportunistically sampled dataset cannot fully support.</w:t>
      </w:r>
    </w:p>
    <w:p w14:paraId="36DB7BA1">
      <w:pPr>
        <w:widowControl/>
        <w:suppressAutoHyphens/>
        <w:bidi w:val="0"/>
        <w:spacing w:before="240" w:after="160" w:line="240" w:lineRule="auto"/>
        <w:jc w:val="both"/>
        <w:outlineLvl w:val="1"/>
        <w:rPr>
          <w:rFonts w:ascii="Times New Roman" w:hAnsi="Times New Roman" w:eastAsia="Times New Roman" w:cs="Times New Roman"/>
          <w:b/>
          <w:bCs/>
          <w:i w:val="0"/>
          <w:iCs w:val="0"/>
          <w:color w:val="000000"/>
          <w:kern w:val="0"/>
          <w:sz w:val="24"/>
          <w:szCs w:val="24"/>
          <w:lang w:val="en-US" w:eastAsia="en-US" w:bidi="ar-SA"/>
          <w14:ligatures w14:val="none"/>
        </w:rPr>
      </w:pPr>
      <w:bookmarkStart w:id="102" w:name="__RefHeading___Toc3762_3370473891"/>
      <w:bookmarkEnd w:id="102"/>
      <w:r>
        <w:rPr>
          <w:rFonts w:ascii="Times New Roman" w:hAnsi="Times New Roman" w:eastAsia="Times New Roman" w:cs="Times New Roman"/>
          <w:b/>
          <w:bCs/>
          <w:i w:val="0"/>
          <w:iCs w:val="0"/>
          <w:color w:val="000000"/>
          <w:kern w:val="0"/>
          <w:sz w:val="24"/>
          <w:szCs w:val="24"/>
          <w:lang w:val="en-US" w:eastAsia="en-US" w:bidi="ar-SA"/>
          <w14:ligatures w14:val="none"/>
        </w:rPr>
        <w:t>Limitations of the study</w:t>
      </w:r>
    </w:p>
    <w:p w14:paraId="2B101718">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 xml:space="preserve">study carries several limitations worth considering when reviewing its results and conclusions. </w:t>
      </w:r>
    </w:p>
    <w:p w14:paraId="2414D31B">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First, the study used a cross</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sectional design, capturing the relationships between the studied variables at one point in time rather than establishing cause and effect over time. Second, the study drew on only 50 usable responses, below the 70</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response target set out in Chapter Three; this smaller sample reduces statistical power, which may partly explain why several hypothesis effects, particularly H4, H5, H6 and H7, did not reach statistical significance even where the underlying relationship may be real.</w:t>
      </w:r>
      <w:r>
        <w:rPr>
          <w:rFonts w:hint="default" w:ascii="Times New Roman" w:hAnsi="Times New Roman" w:eastAsia="Times New Roman" w:cs="Times New Roman"/>
          <w:color w:val="auto"/>
          <w:kern w:val="0"/>
          <w:lang w:val="en-US"/>
          <w14:ligatures w14:val="none"/>
        </w:rPr>
        <w:t xml:space="preserve"> Third</w:t>
      </w:r>
      <w:r>
        <w:rPr>
          <w:rFonts w:ascii="Times New Roman" w:hAnsi="Times New Roman" w:eastAsia="Times New Roman" w:cs="Times New Roman"/>
          <w:color w:val="auto"/>
          <w:kern w:val="0"/>
          <w:lang w:val="en-US"/>
          <w14:ligatures w14:val="none"/>
        </w:rPr>
        <w:t>, all data were collected through self</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report measures, which can introduce common method bias, although the</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single</w:t>
      </w:r>
      <w:r>
        <w:rPr>
          <w:rFonts w:hint="default" w:ascii="Times New Roman" w:hAnsi="Times New Roman" w:eastAsia="Times New Roman" w:cs="Times New Roman"/>
          <w:color w:val="auto"/>
          <w:kern w:val="0"/>
          <w:lang w:val="en-US"/>
          <w14:ligatures w14:val="none"/>
        </w:rPr>
        <w:t xml:space="preserve"> </w:t>
      </w:r>
      <w:r>
        <w:rPr>
          <w:rFonts w:ascii="Times New Roman" w:hAnsi="Times New Roman" w:eastAsia="Times New Roman" w:cs="Times New Roman"/>
          <w:color w:val="auto"/>
          <w:kern w:val="0"/>
          <w:lang w:val="en-US"/>
          <w14:ligatures w14:val="none"/>
        </w:rPr>
        <w:t>factor test above suggested this was not a major concern (46.7% of variance on the first factor). Fifth, the fraud prevention scale</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s reliability fell below the conventional 0.70 threshold in this sample, which may have limited the study</w:t>
      </w:r>
      <w:r>
        <w:rPr>
          <w:rFonts w:hint="default" w:ascii="Times New Roman" w:hAnsi="Times New Roman" w:eastAsia="Times New Roman" w:cs="Times New Roman"/>
          <w:color w:val="auto"/>
          <w:kern w:val="0"/>
          <w:lang w:val="en-US"/>
          <w14:ligatures w14:val="none"/>
        </w:rPr>
        <w:t>’</w:t>
      </w:r>
      <w:r>
        <w:rPr>
          <w:rFonts w:ascii="Times New Roman" w:hAnsi="Times New Roman" w:eastAsia="Times New Roman" w:cs="Times New Roman"/>
          <w:color w:val="auto"/>
          <w:kern w:val="0"/>
          <w:lang w:val="en-US"/>
          <w14:ligatures w14:val="none"/>
        </w:rPr>
        <w:t>s ability to detect its hypothesised relationships with organisational effectiveness and its mediating role.</w:t>
      </w:r>
    </w:p>
    <w:p w14:paraId="09D0D34B">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p>
    <w:p w14:paraId="75F25D42">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p>
    <w:p w14:paraId="47336413">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p>
    <w:p w14:paraId="7D4AF000">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p>
    <w:p w14:paraId="7B7A18F4">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p>
    <w:p w14:paraId="280B25C1">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p>
    <w:p w14:paraId="0907CFC3">
      <w:pPr>
        <w:widowControl/>
        <w:tabs>
          <w:tab w:val="left" w:pos="2278"/>
        </w:tabs>
        <w:suppressAutoHyphens/>
        <w:bidi w:val="0"/>
        <w:spacing w:before="120" w:after="120" w:line="480" w:lineRule="auto"/>
        <w:ind w:firstLine="0"/>
        <w:jc w:val="both"/>
        <w:rPr>
          <w:rFonts w:ascii="Times New Roman" w:hAnsi="Times New Roman" w:eastAsia="Times New Roman" w:cs="Times New Roman"/>
          <w:b/>
          <w:color w:val="auto"/>
          <w:kern w:val="0"/>
          <w:lang w:val="en-US"/>
          <w14:ligatures w14:val="none"/>
        </w:rPr>
      </w:pPr>
    </w:p>
    <w:p w14:paraId="5C27A760">
      <w:pPr>
        <w:widowControl/>
        <w:tabs>
          <w:tab w:val="left" w:pos="2278"/>
        </w:tabs>
        <w:suppressAutoHyphens/>
        <w:bidi w:val="0"/>
        <w:spacing w:before="120" w:after="120" w:line="480" w:lineRule="auto"/>
        <w:ind w:firstLine="0"/>
        <w:jc w:val="both"/>
        <w:rPr>
          <w:rFonts w:ascii="Times New Roman" w:hAnsi="Times New Roman" w:eastAsia="Times New Roman" w:cs="Times New Roman"/>
          <w:b/>
          <w:color w:val="auto"/>
          <w:kern w:val="0"/>
          <w:lang w:val="en-US"/>
          <w14:ligatures w14:val="none"/>
        </w:rPr>
      </w:pPr>
    </w:p>
    <w:p w14:paraId="6F9279FD">
      <w:pPr>
        <w:widowControl/>
        <w:tabs>
          <w:tab w:val="left" w:pos="2278"/>
        </w:tabs>
        <w:suppressAutoHyphens/>
        <w:bidi w:val="0"/>
        <w:spacing w:before="120" w:after="120" w:line="480" w:lineRule="auto"/>
        <w:ind w:firstLine="0"/>
        <w:jc w:val="both"/>
        <w:rPr>
          <w:rFonts w:ascii="Times New Roman" w:hAnsi="Times New Roman" w:eastAsia="Times New Roman" w:cs="Times New Roman"/>
          <w:b/>
          <w:color w:val="auto"/>
          <w:kern w:val="0"/>
          <w:lang w:val="en-US"/>
          <w14:ligatures w14:val="none"/>
        </w:rPr>
      </w:pPr>
    </w:p>
    <w:p w14:paraId="7508C399">
      <w:pPr>
        <w:widowControl/>
        <w:tabs>
          <w:tab w:val="left" w:pos="2278"/>
        </w:tabs>
        <w:suppressAutoHyphens/>
        <w:bidi w:val="0"/>
        <w:spacing w:before="120" w:after="120" w:line="480" w:lineRule="auto"/>
        <w:ind w:firstLine="0"/>
        <w:jc w:val="both"/>
        <w:rPr>
          <w:rFonts w:ascii="Times New Roman" w:hAnsi="Times New Roman" w:eastAsia="Times New Roman" w:cs="Times New Roman"/>
          <w:b/>
          <w:color w:val="auto"/>
          <w:kern w:val="0"/>
          <w:lang w:val="en-US"/>
          <w14:ligatures w14:val="none"/>
        </w:rPr>
      </w:pPr>
    </w:p>
    <w:p w14:paraId="61EE09D0">
      <w:pPr>
        <w:widowControl/>
        <w:tabs>
          <w:tab w:val="left" w:pos="2278"/>
        </w:tabs>
        <w:suppressAutoHyphens/>
        <w:bidi w:val="0"/>
        <w:spacing w:before="120" w:after="120" w:line="480" w:lineRule="auto"/>
        <w:ind w:firstLine="0"/>
        <w:jc w:val="both"/>
        <w:rPr>
          <w:rFonts w:ascii="Times New Roman" w:hAnsi="Times New Roman" w:eastAsia="Times New Roman" w:cs="Times New Roman"/>
          <w:b/>
          <w:color w:val="auto"/>
          <w:kern w:val="0"/>
          <w:lang w:val="en-US"/>
          <w14:ligatures w14:val="none"/>
        </w:rPr>
      </w:pPr>
      <w:r>
        <w:rPr>
          <w:rFonts w:ascii="Times New Roman" w:hAnsi="Times New Roman" w:eastAsia="Times New Roman" w:cs="Times New Roman"/>
          <w:b/>
          <w:color w:val="auto"/>
          <w:kern w:val="0"/>
          <w:lang w:val="en-US"/>
          <w14:ligatures w14:val="none"/>
        </w:rPr>
        <w:t>References</w:t>
      </w:r>
    </w:p>
    <w:p w14:paraId="2C5396B1">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Agyemang, O. S., Aboagye, A. Q. Q., &amp; Ahali, A. Y. O. (2013). Corporate governance, fraud and performance of banks: Evidence from Ghana. Corporate Governance, 13(3), 237–250.</w:t>
      </w:r>
    </w:p>
    <w:p w14:paraId="53A8D2AA">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Akolgo, A. (2023). Ghana's debt crisis and the political economy of financial dependence in Africa: History repeating itself? Development and Change, 54(6), 1358–1385.</w:t>
      </w:r>
    </w:p>
    <w:p w14:paraId="290DB82C">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Alkhyyoon, H., Abbaszadeh, M. R., &amp; Zadeh, F. N. (2023). Organizational risk management and performance from the perspective of fraud: A comparative study in Iraq, Iran, and Saudi Arabia. Journal of Risk and Financial Management, 16(3), 205.</w:t>
      </w:r>
    </w:p>
    <w:p w14:paraId="586F2EF7">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Alfartoosi, A., &amp; Jusoh, M. (2021). Internal control systems and organisational performance: Empirical evidence from emerging markets. Journal of Accounting and Organisational Change, 17(1), 1–23.</w:t>
      </w:r>
    </w:p>
    <w:p w14:paraId="38EF8170">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Atugeba, R. K., &amp; Acquah-Sam, E. (2024). Corporate governance practices and firm performance in Ghanaian companies. Ghana Journal of Business Research, 16(1), 45–67.</w:t>
      </w:r>
    </w:p>
    <w:p w14:paraId="639AA293">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Avortri, R., &amp; Agbanyo, R. (2020). The effect of corporate governance on bank failure in Ghana. African Journal of Accounting, Auditing and Finance, 7(2), 134–150.</w:t>
      </w:r>
    </w:p>
    <w:p w14:paraId="7FF33FF1">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Bank of Ghana. (2025). 2024 annual fraud report: Banks, specialised deposit-taking institutions and payment service providers. Bank of Ghana.</w:t>
      </w:r>
    </w:p>
    <w:p w14:paraId="39ADC16F">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Busco, C., Riccaboni, A., &amp; Scapens, R. W. (2005). Governance and accountability: Integrating corporate governance and risk management. Management Accounting Research, 16(2), 259–284.</w:t>
      </w:r>
    </w:p>
    <w:p w14:paraId="1AAEDBF4">
      <w:pPr>
        <w:widowControl/>
        <w:suppressAutoHyphens/>
        <w:bidi w:val="0"/>
        <w:spacing w:before="120" w:after="240" w:line="480" w:lineRule="auto"/>
        <w:ind w:firstLine="72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Van Akkeren, J. (2023). Fraud triangle: Cressey’s fraud triangle and alternative fraud theories. In </w:t>
      </w:r>
      <w:r>
        <w:rPr>
          <w:rFonts w:hint="default" w:ascii="Times New Roman" w:hAnsi="Times New Roman" w:eastAsia="SimSun" w:cs="Times New Roman"/>
          <w:i/>
          <w:iCs/>
          <w:caps w:val="0"/>
          <w:color w:val="222222"/>
          <w:spacing w:val="0"/>
          <w:kern w:val="0"/>
          <w:sz w:val="24"/>
          <w:szCs w:val="24"/>
          <w:shd w:val="clear" w:fill="FFFFFF"/>
          <w:lang w:val="en-US"/>
          <w14:ligatures w14:val="none"/>
        </w:rPr>
        <w:t>Encyclopedia of Business and Professional Ethics</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(pp. 917-920). Cham: Springer International Publishing.</w:t>
      </w:r>
      <w:r>
        <w:rPr>
          <w:rFonts w:hint="default" w:ascii="Times New Roman" w:hAnsi="Times New Roman" w:eastAsia="Times New Roman" w:cs="Times New Roman"/>
          <w:b w:val="0"/>
          <w:i w:val="0"/>
          <w:color w:val="auto"/>
          <w:kern w:val="0"/>
          <w:sz w:val="24"/>
          <w:szCs w:val="24"/>
          <w:lang w:val="en-US"/>
          <w14:ligatures w14:val="none"/>
        </w:rPr>
        <w:t>.</w:t>
      </w:r>
    </w:p>
    <w:p w14:paraId="0BE89A68">
      <w:pPr>
        <w:widowControl/>
        <w:suppressAutoHyphens/>
        <w:bidi w:val="0"/>
        <w:spacing w:before="120" w:after="240" w:line="480" w:lineRule="auto"/>
        <w:ind w:firstLine="720"/>
        <w:jc w:val="both"/>
        <w:rPr>
          <w:rFonts w:hint="default" w:ascii="Times New Roman" w:hAnsi="Times New Roman" w:eastAsia="Times New Roman" w:cs="Times New Roman"/>
          <w:color w:val="auto"/>
          <w:kern w:val="0"/>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Kauppi, K. (2022). Institutional theory. In </w:t>
      </w:r>
      <w:r>
        <w:rPr>
          <w:rFonts w:hint="default" w:ascii="Times New Roman" w:hAnsi="Times New Roman" w:eastAsia="SimSun" w:cs="Times New Roman"/>
          <w:i/>
          <w:iCs/>
          <w:caps w:val="0"/>
          <w:color w:val="222222"/>
          <w:spacing w:val="0"/>
          <w:kern w:val="0"/>
          <w:sz w:val="24"/>
          <w:szCs w:val="24"/>
          <w:shd w:val="clear" w:fill="FFFFFF"/>
          <w:lang w:val="en-US"/>
          <w14:ligatures w14:val="none"/>
        </w:rPr>
        <w:t>Handbook of theories for purchasing, supply chain and management research</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(pp. 320-334). Edward Elgar Publishing.</w:t>
      </w:r>
    </w:p>
    <w:p w14:paraId="140FA590">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Gakpo, J. N. (2021). Operational risk management systems in Ghanaian banks. Ghana Banking Journal, 12(2), 101–120.</w:t>
      </w:r>
    </w:p>
    <w:p w14:paraId="364620FC">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Gakpo, J. N. (2022). Fraud risk management in Ghanaian financial institutions. African Journal of Risk &amp; Compliance, 14(3), 65–84.</w:t>
      </w:r>
    </w:p>
    <w:p w14:paraId="1C87F160">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Gakpo, J. N. (2024). Leadership and risk culture in Ghanaian banks. The Ghanaian Banker, 19(1), 22–31.</w:t>
      </w:r>
    </w:p>
    <w:p w14:paraId="1AE9BFAF">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Aluchna, M. (2022). Agency theory. In </w:t>
      </w:r>
      <w:r>
        <w:rPr>
          <w:rFonts w:hint="default" w:ascii="Times New Roman" w:hAnsi="Times New Roman" w:eastAsia="SimSun" w:cs="Times New Roman"/>
          <w:i/>
          <w:iCs/>
          <w:caps w:val="0"/>
          <w:color w:val="222222"/>
          <w:spacing w:val="0"/>
          <w:kern w:val="0"/>
          <w:sz w:val="24"/>
          <w:szCs w:val="24"/>
          <w:shd w:val="clear" w:fill="FFFFFF"/>
          <w:lang w:val="en-US"/>
          <w14:ligatures w14:val="none"/>
        </w:rPr>
        <w:t>Encyclopedia of sustainable management</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(pp. 1-9). Cham: Springer International Publishing.</w:t>
      </w:r>
      <w:r>
        <w:rPr>
          <w:rFonts w:hint="default" w:ascii="Times New Roman" w:hAnsi="Times New Roman" w:eastAsia="Times New Roman" w:cs="Times New Roman"/>
          <w:b w:val="0"/>
          <w:i w:val="0"/>
          <w:color w:val="auto"/>
          <w:kern w:val="0"/>
          <w:sz w:val="24"/>
          <w:szCs w:val="24"/>
          <w:lang w:val="en-US"/>
          <w14:ligatures w14:val="none"/>
        </w:rPr>
        <w:t>.</w:t>
      </w:r>
    </w:p>
    <w:p w14:paraId="15AA0D0B">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Hair, J. F., Black, W. C., Babin, B. J., &amp; Anderson, R. E. (2014). Multivariate data analysis (7th ed.). Pearson Education.</w:t>
      </w:r>
    </w:p>
    <w:p w14:paraId="3BF659D4">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Hayes, A. F. (2018). Introduction to mediation, moderation, and conditional process analysis: A regression-based approach (2nd ed.). Guilford Press.</w:t>
      </w:r>
    </w:p>
    <w:p w14:paraId="294B28D1">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Herawaty, N., &amp; Hernando, R. (2020). Analysis of internal control of good corporate governance and fraud prevention (Study at the regional government of Jambi City). Sriwijaya International Journal of Dynamic Economics and Business, 4(2), 103–118.</w:t>
      </w:r>
    </w:p>
    <w:p w14:paraId="61C49AD5">
      <w:pPr>
        <w:widowControl/>
        <w:suppressAutoHyphens/>
        <w:bidi w:val="0"/>
        <w:spacing w:before="120" w:after="240" w:line="480" w:lineRule="auto"/>
        <w:ind w:firstLine="720"/>
        <w:jc w:val="both"/>
        <w:rPr>
          <w:rFonts w:hint="default" w:ascii="Times New Roman" w:hAnsi="Times New Roman" w:eastAsia="Times New Roman" w:cs="Times New Roman"/>
          <w:color w:val="auto"/>
          <w:kern w:val="0"/>
          <w:sz w:val="24"/>
          <w:szCs w:val="24"/>
          <w:lang w:val="en-US"/>
          <w14:ligatures w14:val="none"/>
        </w:rPr>
      </w:pPr>
      <w:r>
        <w:rPr>
          <w:rFonts w:hint="default" w:ascii="Times New Roman" w:hAnsi="Times New Roman" w:eastAsia="SimSun" w:cs="Times New Roman"/>
          <w:i w:val="0"/>
          <w:iCs w:val="0"/>
          <w:color w:val="222222"/>
          <w:spacing w:val="0"/>
          <w:kern w:val="0"/>
          <w:sz w:val="24"/>
          <w:szCs w:val="24"/>
          <w:shd w:val="clear" w:fill="FFFFFF"/>
          <w:lang w:val="en-US"/>
          <w14:ligatures w14:val="none"/>
        </w:rPr>
        <w:t xml:space="preserve">Adamu, m. N. (2026). Impact of corruption on public procurement processes. </w:t>
      </w:r>
      <w:r>
        <w:rPr>
          <w:rFonts w:hint="default" w:ascii="Times New Roman" w:hAnsi="Times New Roman" w:eastAsia="SimSun" w:cs="Times New Roman"/>
          <w:i/>
          <w:iCs/>
          <w:color w:val="222222"/>
          <w:spacing w:val="0"/>
          <w:kern w:val="0"/>
          <w:sz w:val="24"/>
          <w:szCs w:val="24"/>
          <w:shd w:val="clear" w:fill="FFFFFF"/>
          <w:lang w:val="en-US"/>
          <w14:ligatures w14:val="none"/>
        </w:rPr>
        <w:t>International journal of environmental design and construction management</w:t>
      </w:r>
      <w:r>
        <w:rPr>
          <w:rFonts w:hint="default" w:ascii="Times New Roman" w:hAnsi="Times New Roman" w:eastAsia="SimSun" w:cs="Times New Roman"/>
          <w:i w:val="0"/>
          <w:iCs w:val="0"/>
          <w:color w:val="222222"/>
          <w:spacing w:val="0"/>
          <w:kern w:val="0"/>
          <w:sz w:val="24"/>
          <w:szCs w:val="24"/>
          <w:shd w:val="clear" w:fill="FFFFFF"/>
          <w:lang w:val="en-US"/>
          <w14:ligatures w14:val="none"/>
        </w:rPr>
        <w:t>.</w:t>
      </w:r>
      <w:r>
        <w:rPr>
          <w:rFonts w:hint="default" w:ascii="Times New Roman" w:hAnsi="Times New Roman" w:eastAsia="Times New Roman" w:cs="Times New Roman"/>
          <w:b w:val="0"/>
          <w:i w:val="0"/>
          <w:color w:val="auto"/>
          <w:kern w:val="0"/>
          <w:sz w:val="24"/>
          <w:szCs w:val="24"/>
          <w:lang w:val="en-US"/>
          <w14:ligatures w14:val="none"/>
        </w:rPr>
        <w:t>.</w:t>
      </w:r>
    </w:p>
    <w:p w14:paraId="384CB2B7">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Le, N. T. B., Le, Q. T. T., &amp; Nguyen, T. T. (2020). The role of internal controls in risk management: Evidence from Vietnam. Asian Economic and Financial Review, 10(12), 1452–1466.</w:t>
      </w:r>
    </w:p>
    <w:p w14:paraId="3FA6C573">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Manab, N. A., Kassim, I., &amp; Hussin, M. R. (2010). Enterprise-wide risk management practices: Between corporate governance compliance and value creation. International Review of Business Research Papers, 6(2), 239–252.</w:t>
      </w:r>
    </w:p>
    <w:p w14:paraId="03E814BB">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Mensah, J. A., &amp; Agyei, S. K. (2021). Employee motivation and organisational performance in Ghana. Journal of African Business, 22(3), 357–373.</w:t>
      </w:r>
    </w:p>
    <w:p w14:paraId="108B9FC8">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Musah, A., Issah, M., &amp; Ghartey, J. (2022). Causes of bank failures in Ghana: Lessons for the future. Journal of African Economics, 31(2), 200–219.</w:t>
      </w:r>
    </w:p>
    <w:p w14:paraId="4B3187B3">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Ofori, D. F., Tandoh, I. O., &amp; Agyapong, G. K. Q. (2025). Corporate governance, board characteristics, and bank performance in Ghana. African Journal of Economic and Management Studies, 16(1), 95–113.</w:t>
      </w:r>
    </w:p>
    <w:p w14:paraId="49A5AB63">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Osei, V., Boateng, R., &amp; Ampomah, A. (2019). Risk management and bank stability: Evidence from Ghana. International Journal of Business and Social Science, 10(5), 137–147.</w:t>
      </w:r>
    </w:p>
    <w:p w14:paraId="3C66FA44">
      <w:pPr>
        <w:widowControl/>
        <w:suppressAutoHyphens/>
        <w:bidi w:val="0"/>
        <w:spacing w:before="120" w:after="240" w:line="480" w:lineRule="auto"/>
        <w:ind w:firstLine="720"/>
        <w:jc w:val="both"/>
        <w:rPr>
          <w:rFonts w:ascii="Times New Roman" w:hAnsi="Times New Roman" w:eastAsia="Times New Roman" w:cs="Times New Roman"/>
          <w:b w:val="0"/>
          <w:i w:val="0"/>
          <w:color w:val="auto"/>
          <w:kern w:val="0"/>
          <w:sz w:val="24"/>
          <w:lang w:val="en-US"/>
          <w14:ligatures w14:val="none"/>
        </w:rPr>
      </w:pPr>
      <w:r>
        <w:rPr>
          <w:rFonts w:ascii="Times New Roman" w:hAnsi="Times New Roman" w:eastAsia="Times New Roman" w:cs="Times New Roman"/>
          <w:b w:val="0"/>
          <w:i w:val="0"/>
          <w:color w:val="auto"/>
          <w:kern w:val="0"/>
          <w:sz w:val="24"/>
          <w:lang w:val="en-US"/>
          <w14:ligatures w14:val="none"/>
        </w:rPr>
        <w:t>Osei-Tutu, E., Badu, E., &amp; Owusu-Manu, D. (20</w:t>
      </w:r>
      <w:r>
        <w:rPr>
          <w:rFonts w:hint="default" w:ascii="Times New Roman" w:hAnsi="Times New Roman" w:eastAsia="Times New Roman" w:cs="Times New Roman"/>
          <w:b w:val="0"/>
          <w:i w:val="0"/>
          <w:color w:val="auto"/>
          <w:kern w:val="0"/>
          <w:sz w:val="24"/>
          <w:lang w:val="en-US"/>
          <w14:ligatures w14:val="none"/>
        </w:rPr>
        <w:t>21</w:t>
      </w:r>
      <w:r>
        <w:rPr>
          <w:rFonts w:ascii="Times New Roman" w:hAnsi="Times New Roman" w:eastAsia="Times New Roman" w:cs="Times New Roman"/>
          <w:b w:val="0"/>
          <w:i w:val="0"/>
          <w:color w:val="auto"/>
          <w:kern w:val="0"/>
          <w:sz w:val="24"/>
          <w:lang w:val="en-US"/>
          <w14:ligatures w14:val="none"/>
        </w:rPr>
        <w:t>). Exploring corruption practices in public procurement of infrastructural projects in Ghana. International Journal of Managing Projects in Business, 3(2), 236–256.</w:t>
      </w:r>
    </w:p>
    <w:p w14:paraId="139BA3D3">
      <w:pPr>
        <w:widowControl/>
        <w:suppressAutoHyphens/>
        <w:bidi w:val="0"/>
        <w:spacing w:before="120" w:after="240" w:line="480" w:lineRule="auto"/>
        <w:ind w:firstLine="720"/>
        <w:jc w:val="both"/>
        <w:rPr>
          <w:rFonts w:hint="default" w:ascii="Times New Roman" w:hAnsi="Times New Roman" w:eastAsia="Times New Roman" w:cs="Times New Roman"/>
          <w:b w:val="0"/>
          <w:i w:val="0"/>
          <w:color w:val="auto"/>
          <w:kern w:val="0"/>
          <w:sz w:val="24"/>
          <w:szCs w:val="24"/>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Dharmawati, T., Kamal, I., Cakranegara, P. A., &amp; Revinzky, M. A. (2022). Mediation effects of fraud prevention on the relationship of internal control, risk management and organizational performance. </w:t>
      </w:r>
      <w:r>
        <w:rPr>
          <w:rFonts w:hint="default" w:ascii="Times New Roman" w:hAnsi="Times New Roman" w:eastAsia="SimSun" w:cs="Times New Roman"/>
          <w:i/>
          <w:iCs/>
          <w:caps w:val="0"/>
          <w:color w:val="222222"/>
          <w:spacing w:val="0"/>
          <w:kern w:val="0"/>
          <w:sz w:val="24"/>
          <w:szCs w:val="24"/>
          <w:shd w:val="clear" w:fill="FFFFFF"/>
          <w:lang w:val="en-US"/>
          <w14:ligatures w14:val="none"/>
        </w:rPr>
        <w:t>Atestasi: Jurnal Ilmiah Akuntansi</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w:t>
      </w:r>
      <w:r>
        <w:rPr>
          <w:rFonts w:hint="default" w:ascii="Times New Roman" w:hAnsi="Times New Roman" w:eastAsia="SimSun" w:cs="Times New Roman"/>
          <w:i/>
          <w:iCs/>
          <w:caps w:val="0"/>
          <w:color w:val="222222"/>
          <w:spacing w:val="0"/>
          <w:kern w:val="0"/>
          <w:sz w:val="24"/>
          <w:szCs w:val="24"/>
          <w:shd w:val="clear" w:fill="FFFFFF"/>
          <w:lang w:val="en-US"/>
          <w14:ligatures w14:val="none"/>
        </w:rPr>
        <w:t>5</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(2), 540-555.</w:t>
      </w:r>
    </w:p>
    <w:p w14:paraId="2F8833AC">
      <w:pPr>
        <w:widowControl/>
        <w:suppressAutoHyphens/>
        <w:bidi w:val="0"/>
        <w:spacing w:before="120" w:after="240" w:line="480" w:lineRule="auto"/>
        <w:ind w:firstLine="720"/>
        <w:jc w:val="both"/>
        <w:rPr>
          <w:rFonts w:hint="default" w:ascii="Times New Roman" w:hAnsi="Times New Roman" w:eastAsia="Times New Roman" w:cs="Times New Roman"/>
          <w:b w:val="0"/>
          <w:i w:val="0"/>
          <w:color w:val="auto"/>
          <w:kern w:val="0"/>
          <w:sz w:val="24"/>
          <w:szCs w:val="24"/>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Maulani, S. N., Amalia, P. S., &amp; Birton, M. N. A. (2024). Can Good Corporate Governance Moderates The Influence of Internal Control and Integrity towards Fraud Prevention?. </w:t>
      </w:r>
      <w:r>
        <w:rPr>
          <w:rFonts w:hint="default" w:ascii="Times New Roman" w:hAnsi="Times New Roman" w:eastAsia="SimSun" w:cs="Times New Roman"/>
          <w:i/>
          <w:iCs/>
          <w:caps w:val="0"/>
          <w:color w:val="222222"/>
          <w:spacing w:val="0"/>
          <w:kern w:val="0"/>
          <w:sz w:val="24"/>
          <w:szCs w:val="24"/>
          <w:shd w:val="clear" w:fill="FFFFFF"/>
          <w:lang w:val="en-US"/>
          <w14:ligatures w14:val="none"/>
        </w:rPr>
        <w:t>Journal of accounting Science</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w:t>
      </w:r>
      <w:r>
        <w:rPr>
          <w:rFonts w:hint="default" w:ascii="Times New Roman" w:hAnsi="Times New Roman" w:eastAsia="SimSun" w:cs="Times New Roman"/>
          <w:i/>
          <w:iCs/>
          <w:caps w:val="0"/>
          <w:color w:val="222222"/>
          <w:spacing w:val="0"/>
          <w:kern w:val="0"/>
          <w:sz w:val="24"/>
          <w:szCs w:val="24"/>
          <w:shd w:val="clear" w:fill="FFFFFF"/>
          <w:lang w:val="en-US"/>
          <w14:ligatures w14:val="none"/>
        </w:rPr>
        <w:t>8</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(1), 1-21.</w:t>
      </w:r>
    </w:p>
    <w:p w14:paraId="24D6761E">
      <w:pPr>
        <w:keepNext w:val="0"/>
        <w:keepLines w:val="0"/>
        <w:widowControl/>
        <w:suppressLineNumbers w:val="0"/>
        <w:suppressAutoHyphens/>
        <w:bidi w:val="0"/>
        <w:spacing w:before="120" w:after="120" w:line="480" w:lineRule="auto"/>
        <w:ind w:firstLine="720"/>
        <w:jc w:val="both"/>
        <w:rPr>
          <w:rFonts w:ascii="Times New Roman" w:hAnsi="Times New Roman" w:eastAsia="Times New Roman" w:cs="Times New Roman"/>
          <w:b w:val="0"/>
          <w:i w:val="0"/>
          <w:color w:val="auto"/>
          <w:kern w:val="0"/>
          <w:sz w:val="24"/>
          <w:lang w:val="en-US"/>
          <w14:ligatures w14:val="none"/>
        </w:rPr>
      </w:pPr>
      <w:r>
        <w:rPr>
          <w:rFonts w:hint="default" w:ascii="Times New Roman" w:hAnsi="Times New Roman" w:eastAsia="Arial" w:cs="Times New Roman"/>
          <w:b w:val="0"/>
          <w:bCs w:val="0"/>
          <w:color w:val="auto"/>
          <w:kern w:val="0"/>
          <w:sz w:val="24"/>
          <w:szCs w:val="24"/>
          <w:u w:val="none"/>
          <w:lang w:val="en-US" w:eastAsia="zh-CN" w:bidi="ar"/>
          <w14:ligatures w14:val="none"/>
        </w:rPr>
        <w:t xml:space="preserve">Solomon, J. (2020). </w:t>
      </w:r>
      <w:r>
        <w:rPr>
          <w:rFonts w:hint="default" w:ascii="Times New Roman" w:hAnsi="Times New Roman" w:eastAsia="Arial" w:cs="Times New Roman"/>
          <w:b w:val="0"/>
          <w:bCs w:val="0"/>
          <w:i/>
          <w:iCs/>
          <w:color w:val="auto"/>
          <w:kern w:val="0"/>
          <w:sz w:val="24"/>
          <w:szCs w:val="24"/>
          <w:u w:val="none"/>
          <w:lang w:val="en-US" w:eastAsia="zh-CN" w:bidi="ar"/>
          <w14:ligatures w14:val="none"/>
        </w:rPr>
        <w:t>Corporate governance and accountability</w:t>
      </w:r>
      <w:r>
        <w:rPr>
          <w:rFonts w:hint="default" w:ascii="Times New Roman" w:hAnsi="Times New Roman" w:eastAsia="Arial" w:cs="Times New Roman"/>
          <w:b w:val="0"/>
          <w:bCs w:val="0"/>
          <w:color w:val="auto"/>
          <w:kern w:val="0"/>
          <w:sz w:val="24"/>
          <w:szCs w:val="24"/>
          <w:u w:val="none"/>
          <w:lang w:val="en-US" w:eastAsia="zh-CN" w:bidi="ar"/>
          <w14:ligatures w14:val="none"/>
        </w:rPr>
        <w:t xml:space="preserve"> (5th ed.). Wiley.</w:t>
      </w:r>
    </w:p>
    <w:p w14:paraId="0438918C">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Otoo, J. (2023). Internal control systems and effectiveness in Ghanaian banks. Ghana Accounting Review, 8(2), 41–60.</w:t>
      </w:r>
    </w:p>
    <w:p w14:paraId="07CA3CC4">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Saeed, A., Mensah, S. A., &amp; Takyi, R. (2025). Consequences of weak corporate governance in Sub-Saharan Africa. Journal of African Business Ethics, 14(1), 80–93.</w:t>
      </w:r>
    </w:p>
    <w:p w14:paraId="374702C7">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Sobel, P. J., &amp; Reding, K. F. (2004). Aligning corporate governance with enterprise risk management. Management Accounting Quarterly, 5(2), 29–37.</w:t>
      </w:r>
    </w:p>
    <w:p w14:paraId="1DB68596">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Saunders et al. (2019). Saunders, M., Lewis, P. &amp; Thornhill, A.  (2019). Research methods for business  students, 8th ed. Prentice Hall, Pearson Education, Harlow, England.  </w:t>
      </w:r>
    </w:p>
    <w:p w14:paraId="082B7E71">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Torku, K., &amp; Laryea, E. (2021). Corporate governance and bank failure: Ghana</w:t>
      </w:r>
      <w:r>
        <w:rPr>
          <w:rFonts w:hint="default" w:ascii="Times New Roman" w:hAnsi="Times New Roman" w:eastAsia="Times New Roman" w:cs="Times New Roman"/>
          <w:b w:val="0"/>
          <w:i w:val="0"/>
          <w:color w:val="auto"/>
          <w:kern w:val="0"/>
          <w:sz w:val="24"/>
          <w:lang w:val="en-US"/>
          <w14:ligatures w14:val="none"/>
        </w:rPr>
        <w:t>’</w:t>
      </w:r>
      <w:r>
        <w:rPr>
          <w:rFonts w:ascii="Times New Roman" w:hAnsi="Times New Roman" w:eastAsia="Times New Roman" w:cs="Times New Roman"/>
          <w:b w:val="0"/>
          <w:i w:val="0"/>
          <w:color w:val="auto"/>
          <w:kern w:val="0"/>
          <w:sz w:val="24"/>
          <w:lang w:val="en-US"/>
          <w14:ligatures w14:val="none"/>
        </w:rPr>
        <w:t>s 2018 banking sector crisis. Journal of Sustainable Finance &amp; Investment. Advance online publication.</w:t>
      </w:r>
    </w:p>
    <w:p w14:paraId="127CAD2D">
      <w:pPr>
        <w:widowControl/>
        <w:tabs>
          <w:tab w:val="left" w:pos="2278"/>
        </w:tabs>
        <w:suppressAutoHyphens/>
        <w:bidi w:val="0"/>
        <w:spacing w:before="120" w:beforeAutospacing="1" w:after="120" w:afterAutospacing="1" w:line="480" w:lineRule="auto"/>
        <w:ind w:left="680" w:hanging="68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Zakaria, M. (2019). Corporate governance in developing countries: The case of Ghana. International Journal of Business Governance and Ethics, 14(2), 120–135</w:t>
      </w:r>
    </w:p>
    <w:p w14:paraId="7F11B5FA">
      <w:pPr>
        <w:widowControl/>
        <w:suppressAutoHyphens/>
        <w:bidi w:val="0"/>
        <w:spacing w:before="120" w:after="240" w:line="48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b w:val="0"/>
          <w:i w:val="0"/>
          <w:color w:val="auto"/>
          <w:kern w:val="0"/>
          <w:sz w:val="24"/>
          <w:lang w:val="en-US"/>
          <w14:ligatures w14:val="none"/>
        </w:rPr>
        <w:t>Nunnally, J. C. (1978). Psychometric theory (2nd ed.). McGraw-Hill.</w:t>
      </w:r>
    </w:p>
    <w:p w14:paraId="2FBEDCA0">
      <w:pPr>
        <w:widowControl/>
        <w:suppressAutoHyphens/>
        <w:bidi w:val="0"/>
        <w:spacing w:before="120" w:after="240" w:line="480" w:lineRule="auto"/>
        <w:ind w:firstLine="720"/>
        <w:jc w:val="both"/>
        <w:rPr>
          <w:rFonts w:ascii="Times New Roman" w:hAnsi="Times New Roman" w:eastAsia="Times New Roman" w:cs="Times New Roman"/>
          <w:b w:val="0"/>
          <w:i w:val="0"/>
          <w:color w:val="auto"/>
          <w:kern w:val="0"/>
          <w:sz w:val="24"/>
          <w:lang w:val="en-US"/>
          <w14:ligatures w14:val="none"/>
        </w:rPr>
      </w:pPr>
      <w:r>
        <w:rPr>
          <w:rFonts w:ascii="Times New Roman" w:hAnsi="Times New Roman" w:eastAsia="Times New Roman" w:cs="Times New Roman"/>
          <w:b w:val="0"/>
          <w:i w:val="0"/>
          <w:color w:val="auto"/>
          <w:kern w:val="0"/>
          <w:sz w:val="24"/>
          <w:lang w:val="en-US"/>
          <w14:ligatures w14:val="none"/>
        </w:rPr>
        <w:t>Podsakoff, P. M., MacKenzie, S. B., Lee, J.-Y., &amp; Podsakoff, N. P. (2003). Common method biases in behavioral research: A critical review of the literature and recommended rem</w:t>
      </w:r>
      <w:r>
        <w:rPr>
          <w:rFonts w:hint="default" w:ascii="Times New Roman" w:hAnsi="Times New Roman" w:eastAsia="Times New Roman" w:cs="Times New Roman"/>
          <w:b w:val="0"/>
          <w:i w:val="0"/>
          <w:color w:val="auto"/>
          <w:kern w:val="0"/>
          <w:sz w:val="24"/>
          <w:lang w:val="en-US"/>
          <w14:ligatures w14:val="none"/>
        </w:rPr>
        <w:t xml:space="preserve"> </w:t>
      </w:r>
      <w:r>
        <w:rPr>
          <w:rFonts w:ascii="Times New Roman" w:hAnsi="Times New Roman" w:eastAsia="Times New Roman" w:cs="Times New Roman"/>
          <w:b w:val="0"/>
          <w:i w:val="0"/>
          <w:color w:val="auto"/>
          <w:kern w:val="0"/>
          <w:sz w:val="24"/>
          <w:lang w:val="en-US"/>
          <w14:ligatures w14:val="none"/>
        </w:rPr>
        <w:t>edies. Journal of Applied Psychology, 88(5), 879–903.</w:t>
      </w:r>
    </w:p>
    <w:p w14:paraId="4ECD6B1D">
      <w:pPr>
        <w:widowControl/>
        <w:suppressAutoHyphens/>
        <w:bidi w:val="0"/>
        <w:spacing w:before="120" w:after="240" w:line="480" w:lineRule="auto"/>
        <w:ind w:firstLine="720"/>
        <w:jc w:val="both"/>
        <w:rPr>
          <w:rFonts w:hint="default" w:ascii="Times New Roman" w:hAnsi="Times New Roman" w:eastAsia="Times New Roman" w:cs="Times New Roman"/>
          <w:b w:val="0"/>
          <w:i w:val="0"/>
          <w:color w:val="auto"/>
          <w:kern w:val="0"/>
          <w:sz w:val="24"/>
          <w:szCs w:val="24"/>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Sihombing, R. P., Soewarno, N., &amp; Agustia, D. (2023). The mediating effect of fraud awareness on the relationship between risk management and integrity system. </w:t>
      </w:r>
      <w:r>
        <w:rPr>
          <w:rFonts w:hint="default" w:ascii="Times New Roman" w:hAnsi="Times New Roman" w:eastAsia="SimSun" w:cs="Times New Roman"/>
          <w:i/>
          <w:iCs/>
          <w:caps w:val="0"/>
          <w:color w:val="222222"/>
          <w:spacing w:val="0"/>
          <w:kern w:val="0"/>
          <w:sz w:val="24"/>
          <w:szCs w:val="24"/>
          <w:shd w:val="clear" w:fill="FFFFFF"/>
          <w:lang w:val="en-US"/>
          <w14:ligatures w14:val="none"/>
        </w:rPr>
        <w:t>Journal of Financial Crime</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w:t>
      </w:r>
      <w:r>
        <w:rPr>
          <w:rFonts w:hint="default" w:ascii="Times New Roman" w:hAnsi="Times New Roman" w:eastAsia="SimSun" w:cs="Times New Roman"/>
          <w:i/>
          <w:iCs/>
          <w:caps w:val="0"/>
          <w:color w:val="222222"/>
          <w:spacing w:val="0"/>
          <w:kern w:val="0"/>
          <w:sz w:val="24"/>
          <w:szCs w:val="24"/>
          <w:shd w:val="clear" w:fill="FFFFFF"/>
          <w:lang w:val="en-US"/>
          <w14:ligatures w14:val="none"/>
        </w:rPr>
        <w:t>30</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(3), 618-634.</w:t>
      </w:r>
    </w:p>
    <w:p w14:paraId="624557FF">
      <w:pPr>
        <w:widowControl/>
        <w:suppressAutoHyphens/>
        <w:bidi w:val="0"/>
        <w:spacing w:before="120" w:after="240" w:line="480" w:lineRule="auto"/>
        <w:ind w:firstLine="720"/>
        <w:jc w:val="both"/>
        <w:rPr>
          <w:rFonts w:ascii="Times New Roman" w:hAnsi="Times New Roman" w:eastAsia="Times New Roman" w:cs="Times New Roman"/>
          <w:b w:val="0"/>
          <w:i w:val="0"/>
          <w:color w:val="auto"/>
          <w:kern w:val="0"/>
          <w:sz w:val="24"/>
          <w:lang w:val="en-US"/>
          <w14:ligatures w14:val="none"/>
        </w:rPr>
      </w:pPr>
      <w:r>
        <w:rPr>
          <w:rFonts w:ascii="Times New Roman" w:hAnsi="Times New Roman" w:eastAsia="Times New Roman" w:cs="Times New Roman"/>
          <w:b w:val="0"/>
          <w:i w:val="0"/>
          <w:color w:val="auto"/>
          <w:kern w:val="0"/>
          <w:sz w:val="24"/>
          <w:lang w:val="en-US"/>
          <w14:ligatures w14:val="none"/>
        </w:rPr>
        <w:t>Ravinder, E. B., &amp; Saraswathi, A. B. (2020). Literature review of Cronbach alpha coefficient (α) and McDonald</w:t>
      </w:r>
      <w:r>
        <w:rPr>
          <w:rFonts w:hint="default" w:ascii="Times New Roman" w:hAnsi="Times New Roman" w:eastAsia="Times New Roman" w:cs="Times New Roman"/>
          <w:b w:val="0"/>
          <w:i w:val="0"/>
          <w:color w:val="auto"/>
          <w:kern w:val="0"/>
          <w:sz w:val="24"/>
          <w:lang w:val="en-US"/>
          <w14:ligatures w14:val="none"/>
        </w:rPr>
        <w:t>’</w:t>
      </w:r>
      <w:r>
        <w:rPr>
          <w:rFonts w:ascii="Times New Roman" w:hAnsi="Times New Roman" w:eastAsia="Times New Roman" w:cs="Times New Roman"/>
          <w:b w:val="0"/>
          <w:i w:val="0"/>
          <w:color w:val="auto"/>
          <w:kern w:val="0"/>
          <w:sz w:val="24"/>
          <w:lang w:val="en-US"/>
          <w14:ligatures w14:val="none"/>
        </w:rPr>
        <w:t>s omega coefficient (Ω). European Journal of Molecular &amp; Clinical Medicine, 7(6), 2943–2949.</w:t>
      </w:r>
    </w:p>
    <w:p w14:paraId="11AB331D">
      <w:pPr>
        <w:widowControl/>
        <w:suppressAutoHyphens/>
        <w:bidi w:val="0"/>
        <w:spacing w:before="120" w:after="240" w:line="480" w:lineRule="auto"/>
        <w:ind w:firstLine="720"/>
        <w:jc w:val="both"/>
        <w:rPr>
          <w:rFonts w:hint="default" w:ascii="Times New Roman" w:hAnsi="Times New Roman" w:eastAsia="SimSun" w:cs="Times New Roman"/>
          <w:i w:val="0"/>
          <w:iCs w:val="0"/>
          <w:caps w:val="0"/>
          <w:color w:val="222222"/>
          <w:spacing w:val="0"/>
          <w:kern w:val="0"/>
          <w:sz w:val="24"/>
          <w:szCs w:val="24"/>
          <w:shd w:val="clear" w:fill="FFFFFF"/>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Grasso, C. (2024). The dark side of power: corruption and bribery within the energy industry. In </w:t>
      </w:r>
      <w:r>
        <w:rPr>
          <w:rFonts w:hint="default" w:ascii="Times New Roman" w:hAnsi="Times New Roman" w:eastAsia="SimSun" w:cs="Times New Roman"/>
          <w:i/>
          <w:iCs/>
          <w:caps w:val="0"/>
          <w:color w:val="222222"/>
          <w:spacing w:val="0"/>
          <w:kern w:val="0"/>
          <w:sz w:val="24"/>
          <w:szCs w:val="24"/>
          <w:shd w:val="clear" w:fill="FFFFFF"/>
          <w:lang w:val="en-US"/>
          <w14:ligatures w14:val="none"/>
        </w:rPr>
        <w:t>Research Handbook on EU Energy Law and Policy</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(pp. 362-382). Edward Elgar Publishing.</w:t>
      </w:r>
    </w:p>
    <w:p w14:paraId="20DC675C">
      <w:pPr>
        <w:widowControl/>
        <w:suppressAutoHyphens/>
        <w:bidi w:val="0"/>
        <w:spacing w:before="120" w:after="240" w:line="480" w:lineRule="auto"/>
        <w:ind w:firstLine="720"/>
        <w:jc w:val="both"/>
        <w:rPr>
          <w:rFonts w:hint="default" w:ascii="Times New Roman" w:hAnsi="Times New Roman" w:eastAsia="SimSun" w:cs="Times New Roman"/>
          <w:i w:val="0"/>
          <w:iCs w:val="0"/>
          <w:caps w:val="0"/>
          <w:color w:val="222222"/>
          <w:spacing w:val="0"/>
          <w:kern w:val="0"/>
          <w:sz w:val="24"/>
          <w:szCs w:val="24"/>
          <w:shd w:val="clear" w:fill="FFFFFF"/>
          <w:lang w:val="en-US"/>
          <w14:ligatures w14:val="none"/>
        </w:rPr>
      </w:pP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Asongu, S. (2023). Telecommunications regulation, mobile money innovations and financial inclusion. </w:t>
      </w:r>
      <w:r>
        <w:rPr>
          <w:rFonts w:hint="default" w:ascii="Times New Roman" w:hAnsi="Times New Roman" w:eastAsia="SimSun" w:cs="Times New Roman"/>
          <w:i/>
          <w:iCs/>
          <w:caps w:val="0"/>
          <w:color w:val="222222"/>
          <w:spacing w:val="0"/>
          <w:kern w:val="0"/>
          <w:sz w:val="24"/>
          <w:szCs w:val="24"/>
          <w:shd w:val="clear" w:fill="FFFFFF"/>
          <w:lang w:val="en-US"/>
          <w14:ligatures w14:val="none"/>
        </w:rPr>
        <w:t>Journal of Financial Regulation and Compliance</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 xml:space="preserve">, </w:t>
      </w:r>
      <w:r>
        <w:rPr>
          <w:rFonts w:hint="default" w:ascii="Times New Roman" w:hAnsi="Times New Roman" w:eastAsia="SimSun" w:cs="Times New Roman"/>
          <w:i/>
          <w:iCs/>
          <w:caps w:val="0"/>
          <w:color w:val="222222"/>
          <w:spacing w:val="0"/>
          <w:kern w:val="0"/>
          <w:sz w:val="24"/>
          <w:szCs w:val="24"/>
          <w:shd w:val="clear" w:fill="FFFFFF"/>
          <w:lang w:val="en-US"/>
          <w14:ligatures w14:val="none"/>
        </w:rPr>
        <w:t>31</w:t>
      </w:r>
      <w:r>
        <w:rPr>
          <w:rFonts w:hint="default" w:ascii="Times New Roman" w:hAnsi="Times New Roman" w:eastAsia="SimSun" w:cs="Times New Roman"/>
          <w:i w:val="0"/>
          <w:iCs w:val="0"/>
          <w:caps w:val="0"/>
          <w:color w:val="222222"/>
          <w:spacing w:val="0"/>
          <w:kern w:val="0"/>
          <w:sz w:val="24"/>
          <w:szCs w:val="24"/>
          <w:shd w:val="clear" w:fill="FFFFFF"/>
          <w:lang w:val="en-US"/>
          <w14:ligatures w14:val="none"/>
        </w:rPr>
        <w:t>(4), 503-521.</w:t>
      </w:r>
    </w:p>
    <w:p w14:paraId="2D99E92D">
      <w:pPr>
        <w:widowControl/>
        <w:suppressAutoHyphens/>
        <w:bidi w:val="0"/>
        <w:spacing w:before="120" w:after="240" w:line="480" w:lineRule="auto"/>
        <w:ind w:firstLine="720"/>
        <w:jc w:val="both"/>
        <w:rPr>
          <w:rFonts w:hint="default" w:ascii="Times New Roman" w:hAnsi="Times New Roman" w:eastAsia="SimSun" w:cs="Times New Roman"/>
          <w:b w:val="0"/>
          <w:bCs w:val="0"/>
          <w:color w:val="auto"/>
          <w:kern w:val="0"/>
          <w:sz w:val="24"/>
          <w:szCs w:val="24"/>
          <w:lang w:val="en-US"/>
          <w14:ligatures w14:val="none"/>
        </w:rPr>
      </w:pPr>
      <w:r>
        <w:rPr>
          <w:rFonts w:hint="default" w:ascii="Times New Roman" w:hAnsi="Times New Roman" w:eastAsia="Arial" w:cs="Times New Roman"/>
          <w:b w:val="0"/>
          <w:bCs w:val="0"/>
          <w:color w:val="auto"/>
          <w:kern w:val="0"/>
          <w:sz w:val="24"/>
          <w:szCs w:val="24"/>
          <w:u w:val="none"/>
          <w:lang w:val="en-US"/>
          <w14:ligatures w14:val="none"/>
        </w:rPr>
        <w:t>Ntim, C. G.</w:t>
      </w:r>
      <w:r>
        <w:rPr>
          <w:rFonts w:hint="default" w:ascii="Times New Roman" w:hAnsi="Times New Roman" w:eastAsia="SimSun" w:cs="Times New Roman"/>
          <w:b w:val="0"/>
          <w:bCs w:val="0"/>
          <w:color w:val="auto"/>
          <w:kern w:val="0"/>
          <w:sz w:val="24"/>
          <w:szCs w:val="24"/>
          <w:lang w:val="en-US"/>
          <w14:ligatures w14:val="none"/>
        </w:rPr>
        <w:t xml:space="preserve"> (2020). Determinants, mechanisms and consequences of corporate governance: A regulatory perspective. </w:t>
      </w:r>
      <w:r>
        <w:rPr>
          <w:rFonts w:hint="default" w:ascii="Times New Roman" w:hAnsi="Times New Roman" w:eastAsia="Arial" w:cs="Times New Roman"/>
          <w:b w:val="0"/>
          <w:bCs w:val="0"/>
          <w:color w:val="auto"/>
          <w:kern w:val="0"/>
          <w:sz w:val="24"/>
          <w:szCs w:val="24"/>
          <w:u w:val="none"/>
          <w:lang w:val="en-US"/>
          <w14:ligatures w14:val="none"/>
        </w:rPr>
        <w:t>International Review of Financial Analysis</w:t>
      </w:r>
      <w:r>
        <w:rPr>
          <w:rFonts w:hint="default" w:ascii="Times New Roman" w:hAnsi="Times New Roman" w:eastAsia="SimSun" w:cs="Times New Roman"/>
          <w:b w:val="0"/>
          <w:bCs w:val="0"/>
          <w:color w:val="auto"/>
          <w:kern w:val="0"/>
          <w:sz w:val="24"/>
          <w:szCs w:val="24"/>
          <w:lang w:val="en-US"/>
          <w14:ligatures w14:val="none"/>
        </w:rPr>
        <w:t>, 71, 101–115</w:t>
      </w:r>
    </w:p>
    <w:p w14:paraId="7BAB52F5">
      <w:pPr>
        <w:widowControl/>
        <w:suppressAutoHyphens/>
        <w:bidi w:val="0"/>
        <w:spacing w:before="120" w:after="240" w:line="480" w:lineRule="auto"/>
        <w:ind w:left="0" w:leftChars="0" w:firstLine="0" w:firstLineChars="0"/>
        <w:jc w:val="both"/>
        <w:rPr>
          <w:rFonts w:hint="default" w:ascii="Times New Roman" w:hAnsi="Times New Roman" w:eastAsia="SimSun" w:cs="Times New Roman"/>
          <w:b w:val="0"/>
          <w:bCs w:val="0"/>
          <w:color w:val="auto"/>
          <w:kern w:val="0"/>
          <w:sz w:val="24"/>
          <w:szCs w:val="24"/>
          <w:lang w:val="en-US"/>
          <w14:ligatures w14:val="none"/>
        </w:rPr>
      </w:pPr>
    </w:p>
    <w:p w14:paraId="37FA61F5">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487EF193">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005EAC13">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66DC6AA1">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1B607170">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03890101">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5B792E4A">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656F8FA7">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482DCB36">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3FF87223">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p>
    <w:p w14:paraId="3297D35E">
      <w:pPr>
        <w:widowControl/>
        <w:suppressAutoHyphens/>
        <w:bidi w:val="0"/>
        <w:spacing w:before="120" w:after="120" w:line="480" w:lineRule="auto"/>
        <w:ind w:left="0" w:leftChars="0" w:firstLine="0" w:firstLineChars="0"/>
        <w:jc w:val="center"/>
        <w:rPr>
          <w:rFonts w:hint="default" w:ascii="Times New Roman" w:hAnsi="Times New Roman" w:eastAsia="Times New Roman" w:cs="Times New Roman"/>
          <w:b/>
          <w:bCs/>
          <w:color w:val="auto"/>
          <w:kern w:val="0"/>
          <w:lang w:val="en-US"/>
          <w14:ligatures w14:val="none"/>
        </w:rPr>
      </w:pPr>
      <w:r>
        <w:rPr>
          <w:rFonts w:hint="default" w:ascii="Times New Roman" w:hAnsi="Times New Roman" w:eastAsia="Times New Roman" w:cs="Times New Roman"/>
          <w:b/>
          <w:bCs/>
          <w:color w:val="auto"/>
          <w:kern w:val="0"/>
          <w:lang w:val="en-US"/>
          <w14:ligatures w14:val="none"/>
        </w:rPr>
        <w:t>APPENDIX</w:t>
      </w:r>
    </w:p>
    <w:p w14:paraId="4DC51441">
      <w:pPr>
        <w:widowControl/>
        <w:suppressAutoHyphens/>
        <w:bidi w:val="0"/>
        <w:spacing w:before="120" w:after="120" w:line="360" w:lineRule="auto"/>
        <w:jc w:val="both"/>
        <w:rPr>
          <w:rFonts w:ascii="Times New Roman" w:hAnsi="Times New Roman" w:eastAsia="Calibri" w:cs="Times New Roman"/>
          <w:b/>
          <w:color w:val="auto"/>
          <w:kern w:val="0"/>
          <w:lang w:val="en-US"/>
          <w14:ligatures w14:val="none"/>
        </w:rPr>
      </w:pPr>
      <w:r>
        <w:rPr>
          <w:rFonts w:ascii="Times New Roman" w:hAnsi="Times New Roman" w:eastAsia="Calibri" w:cs="Times New Roman"/>
          <w:b/>
          <w:color w:val="auto"/>
          <w:kern w:val="0"/>
          <w:lang w:val="en-US"/>
          <w14:ligatures w14:val="none"/>
        </w:rPr>
        <w:t>SECTION A: DEMOGRAPHIC PROFILE OF RESPONDENT / FIRM</w:t>
      </w:r>
    </w:p>
    <w:p w14:paraId="1CA6F18F">
      <w:pPr>
        <w:widowControl/>
        <w:suppressAutoHyphens/>
        <w:bidi w:val="0"/>
        <w:spacing w:before="120" w:after="120" w:line="360" w:lineRule="auto"/>
        <w:ind w:firstLine="720"/>
        <w:jc w:val="left"/>
        <w:rPr>
          <w:rFonts w:ascii="Times New Roman" w:hAnsi="Times New Roman" w:eastAsia="Calibri" w:cs="Times New Roman"/>
          <w:b/>
          <w:color w:val="auto"/>
          <w:kern w:val="0"/>
          <w:sz w:val="10"/>
          <w:szCs w:val="10"/>
          <w:lang w:val="en-US"/>
          <w14:ligatures w14:val="none"/>
        </w:rPr>
      </w:pPr>
    </w:p>
    <w:p w14:paraId="4B8DBCA9">
      <w:pPr>
        <w:widowControl/>
        <w:suppressAutoHyphens/>
        <w:bidi w:val="0"/>
        <w:spacing w:before="120" w:after="120" w:line="360" w:lineRule="auto"/>
        <w:ind w:left="360" w:firstLine="720"/>
        <w:jc w:val="left"/>
        <w:rPr>
          <w:rFonts w:ascii="Times New Roman" w:hAnsi="Times New Roman" w:eastAsia="Calibri" w:cs="Times New Roman"/>
          <w:color w:val="auto"/>
          <w:kern w:val="0"/>
          <w:lang w:val="en-US"/>
          <w14:ligatures w14:val="none"/>
        </w:rPr>
      </w:pPr>
      <w:r>
        <w:rPr>
          <w:rFonts w:ascii="Times New Roman" w:hAnsi="Times New Roman" w:eastAsia="Calibri" w:cs="Times New Roman"/>
          <w:b/>
          <w:bCs/>
          <w:color w:val="auto"/>
          <w:kern w:val="0"/>
          <w:lang w:val="en-US"/>
          <w14:ligatures w14:val="none"/>
        </w:rPr>
        <w:t>1.  Gender of respondent</w:t>
      </w:r>
      <w:r>
        <w:rPr>
          <w:rFonts w:ascii="Times New Roman" w:hAnsi="Times New Roman" w:eastAsia="Calibri" w:cs="Times New Roman"/>
          <w:color w:val="auto"/>
          <w:kern w:val="0"/>
          <w:lang w:val="en-US"/>
          <w14:ligatures w14:val="none"/>
        </w:rPr>
        <w:t>:</w:t>
      </w:r>
      <w:r>
        <w:rPr>
          <w:rFonts w:ascii="Times New Roman" w:hAnsi="Times New Roman" w:eastAsia="Calibri" w:cs="Times New Roman"/>
          <w:color w:val="auto"/>
          <w:kern w:val="0"/>
          <w:lang w:val="en-US"/>
          <w14:ligatures w14:val="none"/>
        </w:rPr>
        <w:tab/>
      </w:r>
      <w:r>
        <w:rPr>
          <w:rFonts w:ascii="Times New Roman" w:hAnsi="Times New Roman" w:eastAsia="Calibri" w:cs="Times New Roman"/>
          <w:color w:val="auto"/>
          <w:kern w:val="0"/>
          <w:lang w:val="en-US"/>
          <w14:ligatures w14:val="none"/>
        </w:rPr>
        <w:t xml:space="preserve"> Female [   ]         Male [    ]</w:t>
      </w:r>
    </w:p>
    <w:p w14:paraId="178B84B3">
      <w:pPr>
        <w:widowControl/>
        <w:suppressAutoHyphens/>
        <w:bidi w:val="0"/>
        <w:spacing w:before="120" w:after="120" w:line="360" w:lineRule="auto"/>
        <w:ind w:left="540" w:firstLine="720"/>
        <w:jc w:val="left"/>
        <w:rPr>
          <w:rFonts w:ascii="Times New Roman" w:hAnsi="Times New Roman" w:eastAsia="Calibri" w:cs="Times New Roman"/>
          <w:color w:val="auto"/>
          <w:kern w:val="0"/>
          <w:sz w:val="10"/>
          <w:szCs w:val="10"/>
          <w:lang w:val="en-US"/>
          <w14:ligatures w14:val="none"/>
        </w:rPr>
      </w:pPr>
    </w:p>
    <w:p w14:paraId="52B15241">
      <w:pPr>
        <w:widowControl/>
        <w:suppressAutoHyphens/>
        <w:bidi w:val="0"/>
        <w:spacing w:before="120" w:after="120" w:line="360" w:lineRule="auto"/>
        <w:ind w:left="360" w:firstLine="720"/>
        <w:jc w:val="left"/>
        <w:rPr>
          <w:rFonts w:ascii="Times New Roman" w:hAnsi="Times New Roman" w:eastAsia="Calibri" w:cs="Times New Roman"/>
          <w:b/>
          <w:bCs/>
          <w:color w:val="auto"/>
          <w:kern w:val="0"/>
          <w:lang w:val="en-US"/>
          <w14:ligatures w14:val="none"/>
        </w:rPr>
      </w:pPr>
      <w:r>
        <w:rPr>
          <w:rFonts w:ascii="Times New Roman" w:hAnsi="Times New Roman" w:eastAsia="Calibri" w:cs="Times New Roman"/>
          <w:b/>
          <w:bCs/>
          <w:color w:val="auto"/>
          <w:kern w:val="0"/>
          <w:lang w:val="en-US"/>
          <w14:ligatures w14:val="none"/>
        </w:rPr>
        <w:t xml:space="preserve">2.  Age of respondent: </w:t>
      </w:r>
      <w:r>
        <w:rPr>
          <w:rFonts w:ascii="Times New Roman" w:hAnsi="Times New Roman" w:eastAsia="Calibri" w:cs="Times New Roman"/>
          <w:color w:val="auto"/>
          <w:kern w:val="0"/>
          <w:lang w:val="en-US"/>
          <w14:ligatures w14:val="none"/>
        </w:rPr>
        <w:t>18yrs – 25 yrs.  [   ];  26yrs – 35yrs [  ];  36yrs – 45yrs [  ];   46yrs – 60 yrs.  [  ]; Above 60 [   ].</w:t>
      </w:r>
    </w:p>
    <w:p w14:paraId="77AD68CB">
      <w:pPr>
        <w:widowControl/>
        <w:suppressAutoHyphens/>
        <w:bidi w:val="0"/>
        <w:spacing w:before="120" w:after="120" w:line="360" w:lineRule="auto"/>
        <w:ind w:left="720" w:firstLine="720"/>
        <w:jc w:val="left"/>
        <w:rPr>
          <w:rFonts w:ascii="Times New Roman" w:hAnsi="Times New Roman" w:eastAsia="Calibri" w:cs="Times New Roman"/>
          <w:color w:val="auto"/>
          <w:kern w:val="0"/>
          <w:sz w:val="10"/>
          <w:szCs w:val="10"/>
          <w:lang w:val="en-US"/>
          <w14:ligatures w14:val="none"/>
        </w:rPr>
      </w:pPr>
    </w:p>
    <w:p w14:paraId="529A2423">
      <w:pPr>
        <w:widowControl/>
        <w:suppressAutoHyphens/>
        <w:bidi w:val="0"/>
        <w:spacing w:before="120" w:after="120" w:line="360" w:lineRule="auto"/>
        <w:ind w:left="720" w:firstLine="720"/>
        <w:jc w:val="left"/>
        <w:rPr>
          <w:rFonts w:ascii="Times New Roman" w:hAnsi="Times New Roman" w:eastAsia="Calibri" w:cs="Times New Roman"/>
          <w:color w:val="auto"/>
          <w:kern w:val="0"/>
          <w:sz w:val="10"/>
          <w:szCs w:val="10"/>
          <w:lang w:val="en-US"/>
          <w14:ligatures w14:val="none"/>
        </w:rPr>
      </w:pPr>
    </w:p>
    <w:p w14:paraId="268576BD">
      <w:pPr>
        <w:widowControl/>
        <w:suppressAutoHyphens/>
        <w:bidi w:val="0"/>
        <w:spacing w:before="120" w:after="120" w:line="360" w:lineRule="auto"/>
        <w:ind w:left="360" w:firstLine="720"/>
        <w:jc w:val="left"/>
        <w:rPr>
          <w:rFonts w:ascii="Times New Roman" w:hAnsi="Times New Roman" w:eastAsia="Calibri" w:cs="Times New Roman"/>
          <w:b/>
          <w:bCs/>
          <w:color w:val="auto"/>
          <w:kern w:val="0"/>
          <w:lang w:val="en-US"/>
          <w14:ligatures w14:val="none"/>
        </w:rPr>
      </w:pPr>
      <w:r>
        <w:rPr>
          <w:rFonts w:ascii="Times New Roman" w:hAnsi="Times New Roman" w:eastAsia="Calibri" w:cs="Times New Roman"/>
          <w:b/>
          <w:bCs/>
          <w:color w:val="auto"/>
          <w:kern w:val="0"/>
          <w:lang w:val="en-US"/>
          <w14:ligatures w14:val="none"/>
        </w:rPr>
        <w:t xml:space="preserve">3.  Educational Qualification: </w:t>
      </w:r>
      <w:r>
        <w:rPr>
          <w:rFonts w:ascii="Times New Roman" w:hAnsi="Times New Roman" w:eastAsia="Calibri" w:cs="Times New Roman"/>
          <w:color w:val="auto"/>
          <w:kern w:val="0"/>
          <w:lang w:val="en-US"/>
          <w14:ligatures w14:val="none"/>
        </w:rPr>
        <w:t>WASSCE/SSCE [   ]       Diploma/HND [    ]        Bachelor’s degree [   ]      Master’s Degree [   ]   Other  [   ]</w:t>
      </w:r>
    </w:p>
    <w:p w14:paraId="6928FCB6">
      <w:pPr>
        <w:widowControl/>
        <w:suppressAutoHyphens/>
        <w:bidi w:val="0"/>
        <w:spacing w:before="120" w:after="120" w:line="360" w:lineRule="auto"/>
        <w:ind w:left="720" w:firstLine="720"/>
        <w:jc w:val="left"/>
        <w:rPr>
          <w:rFonts w:ascii="Times New Roman" w:hAnsi="Times New Roman" w:eastAsia="Calibri" w:cs="Times New Roman"/>
          <w:color w:val="auto"/>
          <w:kern w:val="0"/>
          <w:sz w:val="10"/>
          <w:szCs w:val="10"/>
          <w:lang w:val="en-US"/>
          <w14:ligatures w14:val="none"/>
        </w:rPr>
      </w:pPr>
    </w:p>
    <w:p w14:paraId="46B22F7E">
      <w:pPr>
        <w:widowControl/>
        <w:suppressAutoHyphens/>
        <w:bidi w:val="0"/>
        <w:spacing w:before="120" w:after="120" w:line="360" w:lineRule="auto"/>
        <w:ind w:left="360" w:firstLine="720"/>
        <w:jc w:val="left"/>
        <w:rPr>
          <w:rFonts w:ascii="Times New Roman" w:hAnsi="Times New Roman" w:eastAsia="Calibri" w:cs="Times New Roman"/>
          <w:b/>
          <w:bCs/>
          <w:color w:val="auto"/>
          <w:kern w:val="0"/>
          <w:lang w:val="en-US"/>
          <w14:ligatures w14:val="none"/>
        </w:rPr>
      </w:pPr>
      <w:r>
        <w:rPr>
          <w:rFonts w:ascii="Times New Roman" w:hAnsi="Times New Roman" w:eastAsia="Calibri" w:cs="Times New Roman"/>
          <w:b/>
          <w:bCs/>
          <w:color w:val="auto"/>
          <w:kern w:val="0"/>
          <w:lang w:val="en-US"/>
          <w14:ligatures w14:val="none"/>
        </w:rPr>
        <w:t xml:space="preserve">4.  Number of years you have worked in the firm: </w:t>
      </w:r>
      <w:r>
        <w:rPr>
          <w:rFonts w:ascii="Times New Roman" w:hAnsi="Times New Roman" w:eastAsia="Calibri" w:cs="Times New Roman"/>
          <w:color w:val="auto"/>
          <w:kern w:val="0"/>
          <w:lang w:val="en-US"/>
          <w14:ligatures w14:val="none"/>
        </w:rPr>
        <w:t xml:space="preserve">Less than 4 yrs  [   ]      5-10 yrs   [  ]         11-15 yrs [  ]       Above 16 yrs    [  ].   </w:t>
      </w:r>
    </w:p>
    <w:p w14:paraId="3CD4CACB">
      <w:pPr>
        <w:widowControl/>
        <w:suppressAutoHyphens/>
        <w:bidi w:val="0"/>
        <w:spacing w:before="120" w:after="120" w:line="360" w:lineRule="auto"/>
        <w:ind w:firstLine="720"/>
        <w:contextualSpacing/>
        <w:jc w:val="left"/>
        <w:rPr>
          <w:rFonts w:ascii="Times New Roman" w:hAnsi="Times New Roman" w:eastAsia="Calibri" w:cs="Times New Roman"/>
          <w:color w:val="auto"/>
          <w:kern w:val="0"/>
          <w:sz w:val="10"/>
          <w:szCs w:val="10"/>
          <w:lang w:val="en-US"/>
          <w14:ligatures w14:val="none"/>
        </w:rPr>
      </w:pPr>
    </w:p>
    <w:p w14:paraId="4A74954D">
      <w:pPr>
        <w:widowControl/>
        <w:suppressAutoHyphens/>
        <w:bidi w:val="0"/>
        <w:spacing w:before="120" w:after="120" w:line="360" w:lineRule="auto"/>
        <w:ind w:firstLine="720"/>
        <w:contextualSpacing/>
        <w:jc w:val="left"/>
        <w:rPr>
          <w:rFonts w:ascii="Times New Roman" w:hAnsi="Times New Roman" w:eastAsia="Calibri" w:cs="Times New Roman"/>
          <w:color w:val="auto"/>
          <w:kern w:val="0"/>
          <w:sz w:val="10"/>
          <w:szCs w:val="10"/>
          <w:lang w:val="en-US"/>
          <w14:ligatures w14:val="none"/>
        </w:rPr>
      </w:pPr>
    </w:p>
    <w:p w14:paraId="46F2F253">
      <w:pPr>
        <w:widowControl/>
        <w:suppressAutoHyphens/>
        <w:bidi w:val="0"/>
        <w:spacing w:before="120" w:after="120" w:line="360" w:lineRule="auto"/>
        <w:ind w:left="360" w:firstLine="720"/>
        <w:jc w:val="left"/>
        <w:rPr>
          <w:rFonts w:ascii="Times New Roman" w:hAnsi="Times New Roman" w:eastAsia="Calibri" w:cs="Times New Roman"/>
          <w:color w:val="auto"/>
          <w:kern w:val="0"/>
          <w:lang w:val="en-US"/>
          <w14:ligatures w14:val="none"/>
        </w:rPr>
      </w:pPr>
      <w:r>
        <w:rPr>
          <w:rFonts w:ascii="Times New Roman" w:hAnsi="Times New Roman" w:eastAsia="Calibri" w:cs="Times New Roman"/>
          <w:b/>
          <w:bCs/>
          <w:color w:val="auto"/>
          <w:kern w:val="0"/>
          <w:lang w:val="en-US"/>
          <w14:ligatures w14:val="none"/>
        </w:rPr>
        <w:t>5.  Current position in your organisation</w:t>
      </w:r>
      <w:r>
        <w:rPr>
          <w:rFonts w:ascii="Times New Roman" w:hAnsi="Times New Roman" w:eastAsia="Calibri" w:cs="Times New Roman"/>
          <w:color w:val="auto"/>
          <w:kern w:val="0"/>
          <w:lang w:val="en-US"/>
          <w14:ligatures w14:val="none"/>
        </w:rPr>
        <w:t>: Junior level officer [   ]    Middle Level Official [  ]   Senior Level official [  ].</w:t>
      </w:r>
    </w:p>
    <w:p w14:paraId="71474021">
      <w:pPr>
        <w:widowControl/>
        <w:suppressAutoHyphens/>
        <w:bidi w:val="0"/>
        <w:spacing w:before="120" w:after="120" w:line="360" w:lineRule="auto"/>
        <w:ind w:left="720" w:firstLine="720"/>
        <w:contextualSpacing/>
        <w:jc w:val="left"/>
        <w:rPr>
          <w:rFonts w:ascii="Times New Roman" w:hAnsi="Times New Roman" w:eastAsia="Calibri" w:cs="Times New Roman"/>
          <w:color w:val="auto"/>
          <w:kern w:val="0"/>
          <w:sz w:val="10"/>
          <w:szCs w:val="10"/>
          <w:lang w:val="en-US"/>
          <w14:ligatures w14:val="none"/>
        </w:rPr>
      </w:pPr>
    </w:p>
    <w:p w14:paraId="612FE797">
      <w:pPr>
        <w:widowControl/>
        <w:suppressAutoHyphens/>
        <w:bidi w:val="0"/>
        <w:spacing w:before="120" w:after="120" w:line="360" w:lineRule="auto"/>
        <w:ind w:left="360" w:firstLine="720"/>
        <w:jc w:val="left"/>
        <w:rPr>
          <w:rFonts w:ascii="Times New Roman" w:hAnsi="Times New Roman" w:eastAsia="Calibri" w:cs="Times New Roman"/>
          <w:color w:val="auto"/>
          <w:kern w:val="0"/>
          <w:lang w:val="en-US"/>
          <w14:ligatures w14:val="none"/>
        </w:rPr>
      </w:pPr>
      <w:r>
        <w:rPr>
          <w:rFonts w:ascii="Times New Roman" w:hAnsi="Times New Roman" w:eastAsia="Calibri" w:cs="Times New Roman"/>
          <w:b/>
          <w:bCs/>
          <w:color w:val="auto"/>
          <w:kern w:val="0"/>
          <w:lang w:val="en-US"/>
          <w14:ligatures w14:val="none"/>
        </w:rPr>
        <w:t>6.  Type of business</w:t>
      </w:r>
      <w:r>
        <w:rPr>
          <w:rFonts w:ascii="Times New Roman" w:hAnsi="Times New Roman" w:eastAsia="Calibri" w:cs="Times New Roman"/>
          <w:color w:val="auto"/>
          <w:kern w:val="0"/>
          <w:lang w:val="en-US"/>
          <w14:ligatures w14:val="none"/>
        </w:rPr>
        <w:t>: Banking  [   ]   Food &amp; Beverages [    ] Construction [   ] Transport [  ] Education [   ]   Hospitality [   ]   Clothing &amp; Textiles [   ] Insurance [  ]  Wood &amp; Furniture [   ] Other [  ] Specify ___________.</w:t>
      </w:r>
    </w:p>
    <w:p w14:paraId="05D4706A">
      <w:pPr>
        <w:widowControl/>
        <w:suppressAutoHyphens/>
        <w:bidi w:val="0"/>
        <w:spacing w:before="120" w:after="120" w:line="360" w:lineRule="auto"/>
        <w:ind w:left="720" w:firstLine="720"/>
        <w:contextualSpacing/>
        <w:jc w:val="left"/>
        <w:rPr>
          <w:rFonts w:ascii="Times New Roman" w:hAnsi="Times New Roman" w:eastAsia="Calibri" w:cs="Times New Roman"/>
          <w:color w:val="auto"/>
          <w:kern w:val="0"/>
          <w:sz w:val="10"/>
          <w:szCs w:val="10"/>
          <w:lang w:val="en-US" w:eastAsia="en-US" w:bidi="ar-SA"/>
          <w14:ligatures w14:val="none"/>
        </w:rPr>
      </w:pPr>
    </w:p>
    <w:p w14:paraId="41E93CD8">
      <w:pPr>
        <w:widowControl/>
        <w:suppressAutoHyphens/>
        <w:bidi w:val="0"/>
        <w:spacing w:before="120" w:after="120" w:line="360" w:lineRule="auto"/>
        <w:ind w:firstLine="720"/>
        <w:jc w:val="left"/>
        <w:rPr>
          <w:rFonts w:ascii="Times New Roman" w:hAnsi="Times New Roman" w:eastAsia="Calibri" w:cs="Times New Roman"/>
          <w:color w:val="auto"/>
          <w:kern w:val="0"/>
          <w:lang w:val="en-US"/>
          <w14:ligatures w14:val="none"/>
        </w:rPr>
      </w:pPr>
    </w:p>
    <w:p w14:paraId="641D1512">
      <w:pPr>
        <w:widowControl/>
        <w:suppressAutoHyphens/>
        <w:bidi w:val="0"/>
        <w:spacing w:before="120" w:after="120" w:line="360" w:lineRule="auto"/>
        <w:ind w:left="360" w:firstLine="720"/>
        <w:jc w:val="left"/>
        <w:rPr>
          <w:rFonts w:ascii="Times New Roman" w:hAnsi="Times New Roman" w:eastAsia="Calibri" w:cs="Times New Roman"/>
          <w:color w:val="auto"/>
          <w:kern w:val="0"/>
          <w:lang w:val="en-US"/>
          <w14:ligatures w14:val="none"/>
        </w:rPr>
      </w:pPr>
      <w:r>
        <w:rPr>
          <w:rFonts w:ascii="Times New Roman" w:hAnsi="Times New Roman" w:eastAsia="Calibri" w:cs="Times New Roman"/>
          <w:b/>
          <w:bCs/>
          <w:color w:val="auto"/>
          <w:kern w:val="0"/>
          <w:lang w:val="en-US"/>
          <w14:ligatures w14:val="none"/>
        </w:rPr>
        <w:t xml:space="preserve"> 7. Type of Industry</w:t>
      </w:r>
      <w:r>
        <w:rPr>
          <w:rFonts w:ascii="Times New Roman" w:hAnsi="Times New Roman" w:eastAsia="Calibri" w:cs="Times New Roman"/>
          <w:color w:val="auto"/>
          <w:kern w:val="0"/>
          <w:lang w:val="en-US"/>
          <w14:ligatures w14:val="none"/>
        </w:rPr>
        <w:t>:  Manufacturing   [   ]             Service  [   ]            Agriculture    [   ]       Retail Trading</w:t>
      </w:r>
    </w:p>
    <w:p w14:paraId="4ABE40C9">
      <w:pPr>
        <w:widowControl/>
        <w:suppressAutoHyphens/>
        <w:bidi w:val="0"/>
        <w:spacing w:before="120" w:after="120" w:line="360" w:lineRule="auto"/>
        <w:ind w:firstLine="720"/>
        <w:jc w:val="left"/>
        <w:rPr>
          <w:rFonts w:ascii="Times New Roman" w:hAnsi="Times New Roman" w:eastAsia="Calibri" w:cs="Times New Roman"/>
          <w:b/>
          <w:bCs/>
          <w:color w:val="auto"/>
          <w:kern w:val="0"/>
          <w:lang w:val="en-US"/>
          <w14:ligatures w14:val="none"/>
        </w:rPr>
      </w:pPr>
    </w:p>
    <w:p w14:paraId="7FC83269">
      <w:pPr>
        <w:widowControl/>
        <w:suppressAutoHyphens/>
        <w:bidi w:val="0"/>
        <w:spacing w:before="120" w:after="120" w:line="360" w:lineRule="auto"/>
        <w:ind w:firstLine="720"/>
        <w:jc w:val="left"/>
        <w:rPr>
          <w:rFonts w:ascii="Times New Roman" w:hAnsi="Times New Roman" w:eastAsia="Calibri" w:cs="Times New Roman"/>
          <w:color w:val="auto"/>
          <w:kern w:val="0"/>
          <w:lang w:val="en-US"/>
          <w14:ligatures w14:val="none"/>
        </w:rPr>
      </w:pPr>
      <w:r>
        <w:rPr>
          <w:rFonts w:ascii="Times New Roman" w:hAnsi="Times New Roman" w:eastAsia="Calibri" w:cs="Times New Roman"/>
          <w:b/>
          <w:bCs/>
          <w:color w:val="auto"/>
          <w:kern w:val="0"/>
          <w:lang w:val="en-US"/>
          <w14:ligatures w14:val="none"/>
        </w:rPr>
        <w:t xml:space="preserve">     8. Number of Employees:</w:t>
      </w:r>
      <w:r>
        <w:rPr>
          <w:rFonts w:ascii="Times New Roman" w:hAnsi="Times New Roman" w:eastAsia="Calibri" w:cs="Times New Roman"/>
          <w:color w:val="auto"/>
          <w:kern w:val="0"/>
          <w:lang w:val="en-US"/>
          <w14:ligatures w14:val="none"/>
        </w:rPr>
        <w:t xml:space="preserve">  0 – 5 (Micro) [   ]  6 – 30 (Small) [   ] 31 – 100 (Medium) [   ] 101 – 250   (Large)  [   ]            Above 250  (Very Large)  [   ] .</w:t>
      </w:r>
    </w:p>
    <w:p w14:paraId="1EA7F031">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p w14:paraId="0C629E0F">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p w14:paraId="05B6644F">
      <w:pPr>
        <w:widowControl/>
        <w:suppressAutoHyphens/>
        <w:bidi w:val="0"/>
        <w:spacing w:before="120" w:after="120" w:line="360" w:lineRule="auto"/>
        <w:ind w:firstLine="720"/>
        <w:jc w:val="center"/>
        <w:rPr>
          <w:rFonts w:ascii="Times New Roman" w:hAnsi="Times New Roman" w:eastAsia="Times New Roman" w:cs="Times New Roman"/>
          <w:color w:val="auto"/>
          <w:kern w:val="0"/>
          <w:lang w:val="en-US"/>
          <w14:ligatures w14:val="none"/>
        </w:rPr>
      </w:pPr>
    </w:p>
    <w:p w14:paraId="7ED2FDFA">
      <w:pPr>
        <w:widowControl/>
        <w:suppressAutoHyphens/>
        <w:bidi w:val="0"/>
        <w:spacing w:before="120" w:after="120" w:line="360" w:lineRule="auto"/>
        <w:ind w:firstLine="720"/>
        <w:jc w:val="center"/>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SECTION B: CORPORATE GOVERNANCE</w:t>
      </w:r>
    </w:p>
    <w:p w14:paraId="55E6C872">
      <w:pPr>
        <w:widowControl/>
        <w:suppressAutoHyphens/>
        <w:bidi w:val="0"/>
        <w:spacing w:before="120" w:after="120" w:line="360" w:lineRule="auto"/>
        <w:ind w:firstLine="720"/>
        <w:jc w:val="left"/>
        <w:rPr>
          <w:rFonts w:ascii="Times New Roman" w:hAnsi="Times New Roman" w:eastAsia="Times New Roman" w:cs="Times New Roman"/>
          <w:b/>
          <w:bCs/>
          <w:caps/>
          <w:color w:val="auto"/>
          <w:kern w:val="0"/>
          <w:lang w:val="en-US"/>
          <w14:ligatures w14:val="none"/>
        </w:rPr>
      </w:pPr>
      <w:r>
        <w:rPr>
          <w:rFonts w:ascii="Times New Roman" w:hAnsi="Times New Roman" w:eastAsia="Calibri" w:cs="Times New Roman"/>
          <w:color w:val="auto"/>
          <w:kern w:val="0"/>
          <w:lang w:val="en-US"/>
          <w14:ligatures w14:val="none"/>
        </w:rPr>
        <w:t>Please indicate your level of agreement to each of the following statements anchored on the scale: where 1=Strongly Disagree, 2=Disagree, 3=Neutral, 4=Agree and 5=Strongly Agree.</w:t>
      </w:r>
    </w:p>
    <w:p w14:paraId="62A7AEB9">
      <w:pPr>
        <w:widowControl/>
        <w:suppressAutoHyphens/>
        <w:bidi w:val="0"/>
        <w:spacing w:before="120" w:after="120" w:line="360" w:lineRule="auto"/>
        <w:ind w:firstLine="720"/>
        <w:jc w:val="center"/>
        <w:rPr>
          <w:rFonts w:ascii="Times New Roman" w:hAnsi="Times New Roman" w:eastAsia="Times New Roman" w:cs="Times New Roman"/>
          <w:color w:val="auto"/>
          <w:kern w:val="0"/>
          <w:lang w:val="en-US"/>
          <w14:ligatures w14:val="non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8"/>
        <w:gridCol w:w="2253"/>
        <w:gridCol w:w="1003"/>
        <w:gridCol w:w="1003"/>
        <w:gridCol w:w="1003"/>
        <w:gridCol w:w="1004"/>
        <w:gridCol w:w="1004"/>
      </w:tblGrid>
      <w:tr w14:paraId="15ACF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F666F14">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Code</w:t>
            </w:r>
          </w:p>
        </w:tc>
        <w:tc>
          <w:tcPr>
            <w:tcW w:w="0" w:type="auto"/>
          </w:tcPr>
          <w:p w14:paraId="17C05DDC">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Questionnaire Item</w:t>
            </w:r>
          </w:p>
        </w:tc>
        <w:tc>
          <w:tcPr>
            <w:tcW w:w="0" w:type="auto"/>
          </w:tcPr>
          <w:p w14:paraId="49DD83AF">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1</w:t>
            </w:r>
          </w:p>
        </w:tc>
        <w:tc>
          <w:tcPr>
            <w:tcW w:w="0" w:type="auto"/>
          </w:tcPr>
          <w:p w14:paraId="5211A458">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2</w:t>
            </w:r>
          </w:p>
        </w:tc>
        <w:tc>
          <w:tcPr>
            <w:tcW w:w="0" w:type="auto"/>
          </w:tcPr>
          <w:p w14:paraId="09DAA0A9">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3</w:t>
            </w:r>
          </w:p>
        </w:tc>
        <w:tc>
          <w:tcPr>
            <w:tcW w:w="0" w:type="auto"/>
          </w:tcPr>
          <w:p w14:paraId="23521AF5">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4</w:t>
            </w:r>
          </w:p>
        </w:tc>
        <w:tc>
          <w:tcPr>
            <w:tcW w:w="0" w:type="auto"/>
          </w:tcPr>
          <w:p w14:paraId="1FE0FF40">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5</w:t>
            </w:r>
          </w:p>
        </w:tc>
      </w:tr>
      <w:tr w14:paraId="6BE4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42B65F2">
            <w:pPr>
              <w:widowControl/>
              <w:suppressAutoHyphens/>
              <w:bidi w:val="0"/>
              <w:spacing w:before="120" w:after="120" w:line="360" w:lineRule="auto"/>
              <w:ind w:firstLine="720"/>
              <w:jc w:val="left"/>
              <w:rPr>
                <w:rFonts w:ascii="Times New Roman" w:hAnsi="Times New Roman" w:eastAsia="Times New Roman" w:cs="Times New Roman"/>
                <w:b w:val="0"/>
                <w:bCs w:val="0"/>
                <w:color w:val="auto"/>
                <w:kern w:val="0"/>
                <w:lang w:val="en-US"/>
                <w14:ligatures w14:val="none"/>
              </w:rPr>
            </w:pPr>
            <w:r>
              <w:rPr>
                <w:rFonts w:ascii="Times New Roman" w:hAnsi="Times New Roman" w:eastAsia="Times New Roman" w:cs="Times New Roman"/>
                <w:b w:val="0"/>
                <w:bCs w:val="0"/>
                <w:color w:val="auto"/>
                <w:kern w:val="0"/>
                <w:lang w:val="en-US"/>
                <w14:ligatures w14:val="none"/>
              </w:rPr>
              <w:t>SM1</w:t>
            </w:r>
          </w:p>
        </w:tc>
        <w:tc>
          <w:tcPr>
            <w:tcW w:w="0" w:type="auto"/>
          </w:tcPr>
          <w:p w14:paraId="0FF29762">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In my company, there is strategic planning lasting three years or more  </w:t>
            </w:r>
          </w:p>
        </w:tc>
        <w:tc>
          <w:tcPr>
            <w:tcW w:w="0" w:type="auto"/>
          </w:tcPr>
          <w:p w14:paraId="68A6535B">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4FD8B235">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47398786">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05110B95">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79F5F5D1">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r>
      <w:tr w14:paraId="319EB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0149018">
            <w:pPr>
              <w:widowControl/>
              <w:suppressAutoHyphens/>
              <w:bidi w:val="0"/>
              <w:spacing w:before="120" w:after="120" w:line="360" w:lineRule="auto"/>
              <w:ind w:firstLine="720"/>
              <w:jc w:val="left"/>
              <w:rPr>
                <w:rFonts w:ascii="Times New Roman" w:hAnsi="Times New Roman" w:eastAsia="Times New Roman" w:cs="Times New Roman"/>
                <w:b w:val="0"/>
                <w:bCs w:val="0"/>
                <w:color w:val="auto"/>
                <w:kern w:val="0"/>
                <w:lang w:val="en-US"/>
                <w14:ligatures w14:val="none"/>
              </w:rPr>
            </w:pPr>
            <w:r>
              <w:rPr>
                <w:rFonts w:ascii="Times New Roman" w:hAnsi="Times New Roman" w:eastAsia="Times New Roman" w:cs="Times New Roman"/>
                <w:b w:val="0"/>
                <w:bCs w:val="0"/>
                <w:color w:val="auto"/>
                <w:kern w:val="0"/>
                <w:lang w:val="en-US"/>
                <w14:ligatures w14:val="none"/>
              </w:rPr>
              <w:t>SM2</w:t>
            </w:r>
          </w:p>
        </w:tc>
        <w:tc>
          <w:tcPr>
            <w:tcW w:w="0" w:type="auto"/>
          </w:tcPr>
          <w:p w14:paraId="1FE8BD64">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 xml:space="preserve">My company’s strategic planning has a clear relationship with the organization's objectives </w:t>
            </w:r>
          </w:p>
        </w:tc>
        <w:tc>
          <w:tcPr>
            <w:tcW w:w="0" w:type="auto"/>
          </w:tcPr>
          <w:p w14:paraId="3EB6628C">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75EF57B1">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7A042266">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0BA8A210">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5F5DEECA">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r>
      <w:tr w14:paraId="07C7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8DC7E6C">
            <w:pPr>
              <w:widowControl/>
              <w:suppressAutoHyphens/>
              <w:bidi w:val="0"/>
              <w:spacing w:before="120" w:after="120" w:line="360" w:lineRule="auto"/>
              <w:ind w:firstLine="720"/>
              <w:jc w:val="left"/>
              <w:rPr>
                <w:rFonts w:ascii="Times New Roman" w:hAnsi="Times New Roman" w:eastAsia="Times New Roman" w:cs="Times New Roman"/>
                <w:b w:val="0"/>
                <w:bCs w:val="0"/>
                <w:color w:val="auto"/>
                <w:kern w:val="0"/>
                <w:lang w:val="en-US"/>
                <w14:ligatures w14:val="none"/>
              </w:rPr>
            </w:pPr>
            <w:r>
              <w:rPr>
                <w:rFonts w:ascii="Times New Roman" w:hAnsi="Times New Roman" w:eastAsia="Times New Roman" w:cs="Times New Roman"/>
                <w:b w:val="0"/>
                <w:bCs w:val="0"/>
                <w:color w:val="auto"/>
                <w:kern w:val="0"/>
                <w:lang w:val="en-US"/>
                <w14:ligatures w14:val="none"/>
              </w:rPr>
              <w:t>SM3</w:t>
            </w:r>
          </w:p>
        </w:tc>
        <w:tc>
          <w:tcPr>
            <w:tcW w:w="0" w:type="auto"/>
          </w:tcPr>
          <w:p w14:paraId="0DEA9C80">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Senior management of my company seriously views corrective actions as an avenue for improvements</w:t>
            </w:r>
          </w:p>
        </w:tc>
        <w:tc>
          <w:tcPr>
            <w:tcW w:w="0" w:type="auto"/>
          </w:tcPr>
          <w:p w14:paraId="7C8294DE">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3895F598">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6BFBA640">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3025E3E1">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c>
          <w:tcPr>
            <w:tcW w:w="0" w:type="auto"/>
          </w:tcPr>
          <w:p w14:paraId="38A407AE">
            <w:pPr>
              <w:widowControl/>
              <w:suppressAutoHyphens/>
              <w:bidi w:val="0"/>
              <w:spacing w:before="120" w:after="120" w:line="360" w:lineRule="auto"/>
              <w:ind w:firstLine="720"/>
              <w:jc w:val="left"/>
              <w:rPr>
                <w:rFonts w:ascii="Times New Roman" w:hAnsi="Times New Roman" w:eastAsia="Times New Roman" w:cs="Times New Roman"/>
                <w:b/>
                <w:bCs/>
                <w:color w:val="auto"/>
                <w:kern w:val="0"/>
                <w:lang w:val="en-US"/>
                <w14:ligatures w14:val="none"/>
              </w:rPr>
            </w:pPr>
          </w:p>
        </w:tc>
      </w:tr>
      <w:tr w14:paraId="7F57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68D65B8">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BOD</w:t>
            </w:r>
            <w:r>
              <w:rPr>
                <w:rFonts w:hint="default" w:ascii="Times New Roman" w:hAnsi="Times New Roman" w:eastAsia="Times New Roman" w:cs="Times New Roman"/>
                <w:color w:val="auto"/>
                <w:kern w:val="0"/>
                <w:lang w:val="en-US"/>
                <w14:ligatures w14:val="none"/>
              </w:rPr>
              <w:t>1</w:t>
            </w:r>
          </w:p>
        </w:tc>
        <w:tc>
          <w:tcPr>
            <w:tcW w:w="0" w:type="auto"/>
          </w:tcPr>
          <w:p w14:paraId="1984001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 my company, there is a defined management structure supported by organisation charts for all roles.</w:t>
            </w:r>
          </w:p>
        </w:tc>
        <w:tc>
          <w:tcPr>
            <w:tcW w:w="0" w:type="auto"/>
          </w:tcPr>
          <w:p w14:paraId="78042754">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5265AB7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216FC814">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585B648E">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452D8BC1">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7837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1817BDF">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BOD</w:t>
            </w:r>
            <w:r>
              <w:rPr>
                <w:rFonts w:hint="default" w:ascii="Times New Roman" w:hAnsi="Times New Roman" w:eastAsia="Times New Roman" w:cs="Times New Roman"/>
                <w:color w:val="auto"/>
                <w:kern w:val="0"/>
                <w:lang w:val="en-US"/>
                <w14:ligatures w14:val="none"/>
              </w:rPr>
              <w:t>2</w:t>
            </w:r>
          </w:p>
        </w:tc>
        <w:tc>
          <w:tcPr>
            <w:tcW w:w="0" w:type="auto"/>
          </w:tcPr>
          <w:p w14:paraId="6F7A0B3A">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 my company, there is an effective mechanism for keeping staff informed on the key issues and decisions made at the Board of Directors level.</w:t>
            </w:r>
          </w:p>
        </w:tc>
        <w:tc>
          <w:tcPr>
            <w:tcW w:w="0" w:type="auto"/>
          </w:tcPr>
          <w:p w14:paraId="380D9B85">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7D140312">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03C6CDDE">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7CD468BB">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7BC2B8C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128E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AB71A56">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BOD</w:t>
            </w:r>
            <w:r>
              <w:rPr>
                <w:rFonts w:hint="default" w:ascii="Times New Roman" w:hAnsi="Times New Roman" w:eastAsia="Times New Roman" w:cs="Times New Roman"/>
                <w:color w:val="auto"/>
                <w:kern w:val="0"/>
                <w:lang w:val="en-US"/>
                <w14:ligatures w14:val="none"/>
              </w:rPr>
              <w:t>3</w:t>
            </w:r>
          </w:p>
        </w:tc>
        <w:tc>
          <w:tcPr>
            <w:tcW w:w="0" w:type="auto"/>
          </w:tcPr>
          <w:p w14:paraId="2D7A0439">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company’s Board of Directors has set performance targets which are updated annually.</w:t>
            </w:r>
          </w:p>
        </w:tc>
        <w:tc>
          <w:tcPr>
            <w:tcW w:w="0" w:type="auto"/>
          </w:tcPr>
          <w:p w14:paraId="3D00D44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63DC6BE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1A245B08">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7FC4FAC6">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42D578F6">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7FB9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9FCE4DA">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BOD</w:t>
            </w:r>
            <w:r>
              <w:rPr>
                <w:rFonts w:hint="default" w:ascii="Times New Roman" w:hAnsi="Times New Roman" w:eastAsia="Times New Roman" w:cs="Times New Roman"/>
                <w:color w:val="auto"/>
                <w:kern w:val="0"/>
                <w:lang w:val="en-US"/>
                <w14:ligatures w14:val="none"/>
              </w:rPr>
              <w:t>4</w:t>
            </w:r>
          </w:p>
        </w:tc>
        <w:tc>
          <w:tcPr>
            <w:tcW w:w="0" w:type="auto"/>
          </w:tcPr>
          <w:p w14:paraId="75E4780D">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company’s Board of Directors has defined Terms of Reference which are updated periodically.</w:t>
            </w:r>
          </w:p>
        </w:tc>
        <w:tc>
          <w:tcPr>
            <w:tcW w:w="0" w:type="auto"/>
          </w:tcPr>
          <w:p w14:paraId="58DE8A79">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6C73389E">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1B4FFE7C">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66E2A2E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1F90592D">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3A39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979EB5F">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BOD</w:t>
            </w:r>
            <w:r>
              <w:rPr>
                <w:rFonts w:hint="default" w:ascii="Times New Roman" w:hAnsi="Times New Roman" w:eastAsia="Times New Roman" w:cs="Times New Roman"/>
                <w:color w:val="auto"/>
                <w:kern w:val="0"/>
                <w:lang w:val="en-US"/>
                <w14:ligatures w14:val="none"/>
              </w:rPr>
              <w:t>5</w:t>
            </w:r>
          </w:p>
        </w:tc>
        <w:tc>
          <w:tcPr>
            <w:tcW w:w="0" w:type="auto"/>
          </w:tcPr>
          <w:p w14:paraId="75476876">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company’s Board of Directors ensures that strategic planning is in line with the organisation's objectives.</w:t>
            </w:r>
          </w:p>
        </w:tc>
        <w:tc>
          <w:tcPr>
            <w:tcW w:w="0" w:type="auto"/>
          </w:tcPr>
          <w:p w14:paraId="4F7F659C">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6569FD7E">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2E2EB33A">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509E737D">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69C15DD2">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7B62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F47EAD4">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SM</w:t>
            </w:r>
            <w:r>
              <w:rPr>
                <w:rFonts w:hint="default" w:ascii="Times New Roman" w:hAnsi="Times New Roman" w:eastAsia="Times New Roman" w:cs="Times New Roman"/>
                <w:color w:val="auto"/>
                <w:kern w:val="0"/>
                <w:lang w:val="en-US"/>
                <w14:ligatures w14:val="none"/>
              </w:rPr>
              <w:t>4</w:t>
            </w:r>
          </w:p>
        </w:tc>
        <w:tc>
          <w:tcPr>
            <w:tcW w:w="0" w:type="auto"/>
          </w:tcPr>
          <w:p w14:paraId="45089D1C">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company’s strategic planning has a clear relationship with the organisation's objectives.</w:t>
            </w:r>
          </w:p>
        </w:tc>
        <w:tc>
          <w:tcPr>
            <w:tcW w:w="0" w:type="auto"/>
          </w:tcPr>
          <w:p w14:paraId="768009B2">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2900D94B">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209CCDD1">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3A908DEA">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56A10C51">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65A4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B5A0597">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SM</w:t>
            </w:r>
            <w:r>
              <w:rPr>
                <w:rFonts w:hint="default" w:ascii="Times New Roman" w:hAnsi="Times New Roman" w:eastAsia="Times New Roman" w:cs="Times New Roman"/>
                <w:color w:val="auto"/>
                <w:kern w:val="0"/>
                <w:lang w:val="en-US"/>
                <w14:ligatures w14:val="none"/>
              </w:rPr>
              <w:t>5</w:t>
            </w:r>
          </w:p>
        </w:tc>
        <w:tc>
          <w:tcPr>
            <w:tcW w:w="0" w:type="auto"/>
          </w:tcPr>
          <w:p w14:paraId="1795173F">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code of conduct is presented in my company.</w:t>
            </w:r>
          </w:p>
        </w:tc>
        <w:tc>
          <w:tcPr>
            <w:tcW w:w="0" w:type="auto"/>
          </w:tcPr>
          <w:p w14:paraId="4DA997DD">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7E33DA2A">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26457824">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521ED2B8">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0386CE4A">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28EA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7AE7AD5">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SM</w:t>
            </w:r>
            <w:r>
              <w:rPr>
                <w:rFonts w:hint="default" w:ascii="Times New Roman" w:hAnsi="Times New Roman" w:eastAsia="Times New Roman" w:cs="Times New Roman"/>
                <w:color w:val="auto"/>
                <w:kern w:val="0"/>
                <w:lang w:val="en-US"/>
                <w14:ligatures w14:val="none"/>
              </w:rPr>
              <w:t>6</w:t>
            </w:r>
          </w:p>
        </w:tc>
        <w:tc>
          <w:tcPr>
            <w:tcW w:w="0" w:type="auto"/>
          </w:tcPr>
          <w:p w14:paraId="7BAB34E3">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code of conduct is emphasised in my company.</w:t>
            </w:r>
          </w:p>
        </w:tc>
        <w:tc>
          <w:tcPr>
            <w:tcW w:w="0" w:type="auto"/>
          </w:tcPr>
          <w:p w14:paraId="7218DDE0">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3F04CC7E">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3625C9D4">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62BC8B80">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7640A442">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6CA9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57EB4FA">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SM</w:t>
            </w:r>
            <w:r>
              <w:rPr>
                <w:rFonts w:hint="default" w:ascii="Times New Roman" w:hAnsi="Times New Roman" w:eastAsia="Times New Roman" w:cs="Times New Roman"/>
                <w:color w:val="auto"/>
                <w:kern w:val="0"/>
                <w:lang w:val="en-US"/>
                <w14:ligatures w14:val="none"/>
              </w:rPr>
              <w:t>7</w:t>
            </w:r>
          </w:p>
        </w:tc>
        <w:tc>
          <w:tcPr>
            <w:tcW w:w="0" w:type="auto"/>
          </w:tcPr>
          <w:p w14:paraId="28F1C692">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Employees in my company are encouraged to report illegal or wasteful activities.</w:t>
            </w:r>
          </w:p>
        </w:tc>
        <w:tc>
          <w:tcPr>
            <w:tcW w:w="0" w:type="auto"/>
          </w:tcPr>
          <w:p w14:paraId="5E5B8A28">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78D0066E">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5F93AB5C">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3F21DCF0">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1125A7FA">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r w14:paraId="0D11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48F2E718">
            <w:pPr>
              <w:widowControl/>
              <w:suppressAutoHyphens/>
              <w:bidi w:val="0"/>
              <w:spacing w:before="120" w:after="120" w:line="360" w:lineRule="auto"/>
              <w:ind w:firstLine="720"/>
              <w:jc w:val="left"/>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SM</w:t>
            </w:r>
            <w:r>
              <w:rPr>
                <w:rFonts w:hint="default" w:ascii="Times New Roman" w:hAnsi="Times New Roman" w:eastAsia="Times New Roman" w:cs="Times New Roman"/>
                <w:color w:val="auto"/>
                <w:kern w:val="0"/>
                <w:lang w:val="en-US"/>
                <w14:ligatures w14:val="none"/>
              </w:rPr>
              <w:t>8</w:t>
            </w:r>
          </w:p>
        </w:tc>
        <w:tc>
          <w:tcPr>
            <w:tcW w:w="0" w:type="auto"/>
          </w:tcPr>
          <w:p w14:paraId="29985BC3">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Senior Management of my company seriously views corrective actions as an avenue for improvements.</w:t>
            </w:r>
          </w:p>
        </w:tc>
        <w:tc>
          <w:tcPr>
            <w:tcW w:w="0" w:type="auto"/>
          </w:tcPr>
          <w:p w14:paraId="55050BB9">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3D9FA7C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30F4428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25A90897">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c>
          <w:tcPr>
            <w:tcW w:w="0" w:type="auto"/>
          </w:tcPr>
          <w:p w14:paraId="60BB50A3">
            <w:pPr>
              <w:widowControl/>
              <w:suppressAutoHyphens/>
              <w:bidi w:val="0"/>
              <w:spacing w:before="120" w:after="120" w:line="360" w:lineRule="auto"/>
              <w:ind w:firstLine="720"/>
              <w:jc w:val="left"/>
              <w:rPr>
                <w:rFonts w:ascii="Times New Roman" w:hAnsi="Times New Roman" w:eastAsia="Times New Roman" w:cs="Times New Roman"/>
                <w:color w:val="auto"/>
                <w:kern w:val="0"/>
                <w:lang w:val="en-US"/>
                <w14:ligatures w14:val="none"/>
              </w:rPr>
            </w:pPr>
          </w:p>
        </w:tc>
      </w:tr>
    </w:tbl>
    <w:p w14:paraId="2774131A">
      <w:pPr>
        <w:widowControl/>
        <w:suppressAutoHyphens/>
        <w:bidi w:val="0"/>
        <w:spacing w:before="120" w:after="120" w:line="360" w:lineRule="auto"/>
        <w:ind w:left="0" w:leftChars="0" w:firstLine="0" w:firstLineChars="0"/>
        <w:jc w:val="both"/>
        <w:rPr>
          <w:rFonts w:ascii="Times New Roman" w:hAnsi="Times New Roman" w:eastAsia="Times New Roman" w:cs="Times New Roman"/>
          <w:b/>
          <w:bCs/>
          <w:color w:val="auto"/>
          <w:kern w:val="0"/>
          <w:lang w:val="en-US"/>
          <w14:ligatures w14:val="none"/>
        </w:rPr>
      </w:pPr>
    </w:p>
    <w:p w14:paraId="44B13BB4">
      <w:pPr>
        <w:widowControl/>
        <w:suppressAutoHyphens/>
        <w:bidi w:val="0"/>
        <w:spacing w:before="120" w:after="120" w:line="360" w:lineRule="auto"/>
        <w:ind w:firstLine="720"/>
        <w:jc w:val="center"/>
        <w:rPr>
          <w:rFonts w:ascii="Times New Roman" w:hAnsi="Times New Roman" w:eastAsia="Times New Roman" w:cs="Times New Roman"/>
          <w:b/>
          <w:bCs/>
          <w:color w:val="auto"/>
          <w:kern w:val="0"/>
          <w:lang w:val="en-US"/>
          <w14:ligatures w14:val="none"/>
        </w:rPr>
      </w:pPr>
    </w:p>
    <w:p w14:paraId="162FA664">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SECTION C: RISK MANAGEMENT</w:t>
      </w:r>
    </w:p>
    <w:p w14:paraId="4E9ECDF0">
      <w:pPr>
        <w:widowControl/>
        <w:suppressAutoHyphens/>
        <w:bidi w:val="0"/>
        <w:spacing w:before="120" w:after="120" w:line="360" w:lineRule="auto"/>
        <w:ind w:firstLine="720"/>
        <w:jc w:val="both"/>
        <w:rPr>
          <w:rFonts w:ascii="Times New Roman" w:hAnsi="Times New Roman" w:eastAsia="Times New Roman" w:cs="Times New Roman"/>
          <w:b/>
          <w:bCs/>
          <w:caps/>
          <w:color w:val="auto"/>
          <w:kern w:val="0"/>
          <w:lang w:val="en-US"/>
          <w14:ligatures w14:val="none"/>
        </w:rPr>
      </w:pPr>
      <w:r>
        <w:rPr>
          <w:rFonts w:ascii="Times New Roman" w:hAnsi="Times New Roman" w:eastAsia="Calibri" w:cs="Times New Roman"/>
          <w:color w:val="auto"/>
          <w:kern w:val="0"/>
          <w:lang w:val="en-US"/>
          <w14:ligatures w14:val="none"/>
        </w:rPr>
        <w:t>Please indicate your level of agreement to each of the following statements anchored on the scale: where 1=Strongly Disagree, 2=Disagree, 3=Neutral, 4=Agree and 5=Strongly Agree.</w:t>
      </w:r>
    </w:p>
    <w:p w14:paraId="3D0F044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5"/>
        <w:gridCol w:w="2278"/>
        <w:gridCol w:w="1013"/>
        <w:gridCol w:w="1013"/>
        <w:gridCol w:w="1013"/>
        <w:gridCol w:w="1013"/>
        <w:gridCol w:w="1013"/>
      </w:tblGrid>
      <w:tr w14:paraId="24DB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B856002">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Code</w:t>
            </w:r>
          </w:p>
        </w:tc>
        <w:tc>
          <w:tcPr>
            <w:tcW w:w="0" w:type="auto"/>
          </w:tcPr>
          <w:p w14:paraId="76C122BC">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Questionnaire Item</w:t>
            </w:r>
          </w:p>
        </w:tc>
        <w:tc>
          <w:tcPr>
            <w:tcW w:w="0" w:type="auto"/>
          </w:tcPr>
          <w:p w14:paraId="6A5E89CB">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1</w:t>
            </w:r>
          </w:p>
        </w:tc>
        <w:tc>
          <w:tcPr>
            <w:tcW w:w="0" w:type="auto"/>
          </w:tcPr>
          <w:p w14:paraId="47D9288E">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2</w:t>
            </w:r>
          </w:p>
        </w:tc>
        <w:tc>
          <w:tcPr>
            <w:tcW w:w="0" w:type="auto"/>
          </w:tcPr>
          <w:p w14:paraId="70F5BA6E">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3</w:t>
            </w:r>
          </w:p>
        </w:tc>
        <w:tc>
          <w:tcPr>
            <w:tcW w:w="0" w:type="auto"/>
          </w:tcPr>
          <w:p w14:paraId="1DFE0EEA">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4</w:t>
            </w:r>
          </w:p>
        </w:tc>
        <w:tc>
          <w:tcPr>
            <w:tcW w:w="0" w:type="auto"/>
          </w:tcPr>
          <w:p w14:paraId="368EF1B6">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5</w:t>
            </w:r>
          </w:p>
        </w:tc>
      </w:tr>
      <w:tr w14:paraId="5A5F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13DE57">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RM</w:t>
            </w:r>
            <w:r>
              <w:rPr>
                <w:rFonts w:hint="default" w:ascii="Times New Roman" w:hAnsi="Times New Roman" w:eastAsia="Times New Roman" w:cs="Times New Roman"/>
                <w:color w:val="auto"/>
                <w:kern w:val="0"/>
                <w:lang w:val="en-US"/>
                <w14:ligatures w14:val="none"/>
              </w:rPr>
              <w:t>1</w:t>
            </w:r>
          </w:p>
        </w:tc>
        <w:tc>
          <w:tcPr>
            <w:tcW w:w="0" w:type="auto"/>
          </w:tcPr>
          <w:p w14:paraId="64457EE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The organisation establishes the context before assessing risks.</w:t>
            </w:r>
          </w:p>
        </w:tc>
        <w:tc>
          <w:tcPr>
            <w:tcW w:w="0" w:type="auto"/>
          </w:tcPr>
          <w:p w14:paraId="59215E5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02C4ECC">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ED7CE3C">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80FC3D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FD7F1A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1E5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DFF1DB2">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RM</w:t>
            </w:r>
            <w:r>
              <w:rPr>
                <w:rFonts w:hint="default" w:ascii="Times New Roman" w:hAnsi="Times New Roman" w:eastAsia="Times New Roman" w:cs="Times New Roman"/>
                <w:color w:val="auto"/>
                <w:kern w:val="0"/>
                <w:lang w:val="en-US"/>
                <w14:ligatures w14:val="none"/>
              </w:rPr>
              <w:t>2</w:t>
            </w:r>
          </w:p>
        </w:tc>
        <w:tc>
          <w:tcPr>
            <w:tcW w:w="0" w:type="auto"/>
          </w:tcPr>
          <w:p w14:paraId="5F22FB3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Risk identification processes are well defined.</w:t>
            </w:r>
          </w:p>
        </w:tc>
        <w:tc>
          <w:tcPr>
            <w:tcW w:w="0" w:type="auto"/>
          </w:tcPr>
          <w:p w14:paraId="5C0B9C9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482DDC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B836A2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B8CE10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6A137C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94D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6D8133D3">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RM</w:t>
            </w:r>
            <w:r>
              <w:rPr>
                <w:rFonts w:hint="default" w:ascii="Times New Roman" w:hAnsi="Times New Roman" w:eastAsia="Times New Roman" w:cs="Times New Roman"/>
                <w:color w:val="auto"/>
                <w:kern w:val="0"/>
                <w:lang w:val="en-US"/>
                <w14:ligatures w14:val="none"/>
              </w:rPr>
              <w:t>3</w:t>
            </w:r>
          </w:p>
        </w:tc>
        <w:tc>
          <w:tcPr>
            <w:tcW w:w="0" w:type="auto"/>
          </w:tcPr>
          <w:p w14:paraId="10AE195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Risk analysis is conducted using structured methods.</w:t>
            </w:r>
          </w:p>
        </w:tc>
        <w:tc>
          <w:tcPr>
            <w:tcW w:w="0" w:type="auto"/>
          </w:tcPr>
          <w:p w14:paraId="020F20E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96E394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497255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5806A5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A7BC55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66AF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8A96D0A">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RM</w:t>
            </w:r>
            <w:r>
              <w:rPr>
                <w:rFonts w:hint="default" w:ascii="Times New Roman" w:hAnsi="Times New Roman" w:eastAsia="Times New Roman" w:cs="Times New Roman"/>
                <w:color w:val="auto"/>
                <w:kern w:val="0"/>
                <w:lang w:val="en-US"/>
                <w14:ligatures w14:val="none"/>
              </w:rPr>
              <w:t>4</w:t>
            </w:r>
          </w:p>
        </w:tc>
        <w:tc>
          <w:tcPr>
            <w:tcW w:w="0" w:type="auto"/>
          </w:tcPr>
          <w:p w14:paraId="66C8C58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Risk evaluation supports decision making.</w:t>
            </w:r>
          </w:p>
        </w:tc>
        <w:tc>
          <w:tcPr>
            <w:tcW w:w="0" w:type="auto"/>
          </w:tcPr>
          <w:p w14:paraId="3F4E2B3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4DD147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067864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E982D1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F067B2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341E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C021E8B">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RM</w:t>
            </w:r>
            <w:r>
              <w:rPr>
                <w:rFonts w:hint="default" w:ascii="Times New Roman" w:hAnsi="Times New Roman" w:eastAsia="Times New Roman" w:cs="Times New Roman"/>
                <w:color w:val="auto"/>
                <w:kern w:val="0"/>
                <w:lang w:val="en-US"/>
                <w14:ligatures w14:val="none"/>
              </w:rPr>
              <w:t>5</w:t>
            </w:r>
          </w:p>
        </w:tc>
        <w:tc>
          <w:tcPr>
            <w:tcW w:w="0" w:type="auto"/>
          </w:tcPr>
          <w:p w14:paraId="785AA3B1">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Risk treatment plans are implemented effectively.</w:t>
            </w:r>
          </w:p>
        </w:tc>
        <w:tc>
          <w:tcPr>
            <w:tcW w:w="0" w:type="auto"/>
          </w:tcPr>
          <w:p w14:paraId="4846BE6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D034E0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2D66AB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6C8E37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3CA54A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779C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2189EAF">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RM</w:t>
            </w:r>
            <w:r>
              <w:rPr>
                <w:rFonts w:hint="default" w:ascii="Times New Roman" w:hAnsi="Times New Roman" w:eastAsia="Times New Roman" w:cs="Times New Roman"/>
                <w:color w:val="auto"/>
                <w:kern w:val="0"/>
                <w:lang w:val="en-US"/>
                <w14:ligatures w14:val="none"/>
              </w:rPr>
              <w:t>6</w:t>
            </w:r>
          </w:p>
        </w:tc>
        <w:tc>
          <w:tcPr>
            <w:tcW w:w="0" w:type="auto"/>
          </w:tcPr>
          <w:p w14:paraId="058C4318">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Risk management is reviewed and improved regularly.</w:t>
            </w:r>
          </w:p>
        </w:tc>
        <w:tc>
          <w:tcPr>
            <w:tcW w:w="0" w:type="auto"/>
          </w:tcPr>
          <w:p w14:paraId="70F6A6F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16F575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777640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A4520D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9095F5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bl>
    <w:p w14:paraId="2698E32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p w14:paraId="2B498797">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SECTION D: FRAUD PREVENTION</w:t>
      </w:r>
    </w:p>
    <w:p w14:paraId="3CF9C7A1">
      <w:pPr>
        <w:widowControl/>
        <w:suppressAutoHyphens/>
        <w:bidi w:val="0"/>
        <w:spacing w:before="120" w:after="120" w:line="360" w:lineRule="auto"/>
        <w:ind w:firstLine="720"/>
        <w:jc w:val="both"/>
        <w:rPr>
          <w:rFonts w:ascii="Times New Roman" w:hAnsi="Times New Roman" w:eastAsia="Times New Roman" w:cs="Times New Roman"/>
          <w:b/>
          <w:bCs/>
          <w:caps/>
          <w:color w:val="auto"/>
          <w:kern w:val="0"/>
          <w:lang w:val="en-US"/>
          <w14:ligatures w14:val="none"/>
        </w:rPr>
      </w:pPr>
      <w:r>
        <w:rPr>
          <w:rFonts w:ascii="Times New Roman" w:hAnsi="Times New Roman" w:eastAsia="Calibri" w:cs="Times New Roman"/>
          <w:color w:val="auto"/>
          <w:kern w:val="0"/>
          <w:lang w:val="en-US"/>
          <w14:ligatures w14:val="none"/>
        </w:rPr>
        <w:t>Please indicate your level of agreement to each of the following statements anchored on the scale: where 1=Strongly Disagree, 2=Disagree, 3=Neutral, 4=Agree and 5=Strongly Agree.</w:t>
      </w:r>
    </w:p>
    <w:p w14:paraId="390CEF21">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2650"/>
        <w:gridCol w:w="970"/>
        <w:gridCol w:w="937"/>
        <w:gridCol w:w="1056"/>
        <w:gridCol w:w="1056"/>
        <w:gridCol w:w="1056"/>
      </w:tblGrid>
      <w:tr w14:paraId="5729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403EA63F">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Code</w:t>
            </w:r>
          </w:p>
        </w:tc>
        <w:tc>
          <w:tcPr>
            <w:tcW w:w="2650" w:type="dxa"/>
          </w:tcPr>
          <w:p w14:paraId="3E7C8FE2">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Questionnaire Item</w:t>
            </w:r>
          </w:p>
        </w:tc>
        <w:tc>
          <w:tcPr>
            <w:tcW w:w="970" w:type="dxa"/>
          </w:tcPr>
          <w:p w14:paraId="4BA8B881">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1</w:t>
            </w:r>
          </w:p>
        </w:tc>
        <w:tc>
          <w:tcPr>
            <w:tcW w:w="937" w:type="dxa"/>
          </w:tcPr>
          <w:p w14:paraId="22BAF9D1">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2</w:t>
            </w:r>
          </w:p>
        </w:tc>
        <w:tc>
          <w:tcPr>
            <w:tcW w:w="1056" w:type="dxa"/>
          </w:tcPr>
          <w:p w14:paraId="7A0E8F4E">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3</w:t>
            </w:r>
          </w:p>
        </w:tc>
        <w:tc>
          <w:tcPr>
            <w:tcW w:w="1056" w:type="dxa"/>
          </w:tcPr>
          <w:p w14:paraId="1B9C8F03">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4</w:t>
            </w:r>
          </w:p>
        </w:tc>
        <w:tc>
          <w:tcPr>
            <w:tcW w:w="1056" w:type="dxa"/>
          </w:tcPr>
          <w:p w14:paraId="60271A50">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5</w:t>
            </w:r>
          </w:p>
        </w:tc>
      </w:tr>
      <w:tr w14:paraId="4DFA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6956CFA0">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P1</w:t>
            </w:r>
          </w:p>
        </w:tc>
        <w:tc>
          <w:tcPr>
            <w:tcW w:w="2650" w:type="dxa"/>
          </w:tcPr>
          <w:p w14:paraId="4268257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is proactive in dealing with the risk of fraud.</w:t>
            </w:r>
          </w:p>
        </w:tc>
        <w:tc>
          <w:tcPr>
            <w:tcW w:w="970" w:type="dxa"/>
          </w:tcPr>
          <w:p w14:paraId="3071EEC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1DE1B94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778ED8F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3E25C68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A3E2AB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54F5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2397B827">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P2</w:t>
            </w:r>
          </w:p>
        </w:tc>
        <w:tc>
          <w:tcPr>
            <w:tcW w:w="2650" w:type="dxa"/>
          </w:tcPr>
          <w:p w14:paraId="0E8085E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has updated internal control systems to prevent fraud.</w:t>
            </w:r>
          </w:p>
        </w:tc>
        <w:tc>
          <w:tcPr>
            <w:tcW w:w="970" w:type="dxa"/>
          </w:tcPr>
          <w:p w14:paraId="739D278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6F01A27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2CC242A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338342D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DA884A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13D5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7841F5BD">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P3</w:t>
            </w:r>
          </w:p>
        </w:tc>
        <w:tc>
          <w:tcPr>
            <w:tcW w:w="2650" w:type="dxa"/>
          </w:tcPr>
          <w:p w14:paraId="157D3DF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has updated accounting control systems to prevent fraud.</w:t>
            </w:r>
          </w:p>
        </w:tc>
        <w:tc>
          <w:tcPr>
            <w:tcW w:w="970" w:type="dxa"/>
          </w:tcPr>
          <w:p w14:paraId="00BFBCC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56BAA63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186759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2E5A650C">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CE3378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D94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7368B32A">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P3</w:t>
            </w:r>
          </w:p>
        </w:tc>
        <w:tc>
          <w:tcPr>
            <w:tcW w:w="2650" w:type="dxa"/>
          </w:tcPr>
          <w:p w14:paraId="12AE41D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company’s external auditors should utilise forensic accounting in their attempt to uncover fraud.</w:t>
            </w:r>
          </w:p>
        </w:tc>
        <w:tc>
          <w:tcPr>
            <w:tcW w:w="970" w:type="dxa"/>
          </w:tcPr>
          <w:p w14:paraId="4220275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669175A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755BE4C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6164A75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6D73C68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A69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0EB8FA3F">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FP4</w:t>
            </w:r>
          </w:p>
        </w:tc>
        <w:tc>
          <w:tcPr>
            <w:tcW w:w="2650" w:type="dxa"/>
          </w:tcPr>
          <w:p w14:paraId="6964F69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could be threatened by fraud due to poor fraud management.</w:t>
            </w:r>
          </w:p>
        </w:tc>
        <w:tc>
          <w:tcPr>
            <w:tcW w:w="970" w:type="dxa"/>
          </w:tcPr>
          <w:p w14:paraId="6154BF1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0B32E29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3A2AA40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10E361BC">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7E291DD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E4E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1BEE1CCE">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P5</w:t>
            </w:r>
          </w:p>
        </w:tc>
        <w:tc>
          <w:tcPr>
            <w:tcW w:w="2650" w:type="dxa"/>
          </w:tcPr>
          <w:p w14:paraId="18D3DE4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could be threatened by fraud due to poor fraud assessment.</w:t>
            </w:r>
          </w:p>
        </w:tc>
        <w:tc>
          <w:tcPr>
            <w:tcW w:w="970" w:type="dxa"/>
          </w:tcPr>
          <w:p w14:paraId="13043D8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24B8A90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B3839B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170C189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6177E1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7FB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662EE822">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P6</w:t>
            </w:r>
          </w:p>
        </w:tc>
        <w:tc>
          <w:tcPr>
            <w:tcW w:w="2650" w:type="dxa"/>
          </w:tcPr>
          <w:p w14:paraId="308C406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could be threatened by fraud due to poor internal controls.</w:t>
            </w:r>
          </w:p>
        </w:tc>
        <w:tc>
          <w:tcPr>
            <w:tcW w:w="970" w:type="dxa"/>
          </w:tcPr>
          <w:p w14:paraId="0F8FD0B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1B47BF4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2A81A76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AFF5B5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15F819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4148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62FB230B">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P7</w:t>
            </w:r>
          </w:p>
        </w:tc>
        <w:tc>
          <w:tcPr>
            <w:tcW w:w="2650" w:type="dxa"/>
          </w:tcPr>
          <w:p w14:paraId="577C367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could be threatened by fraud due to lack of ethical value.</w:t>
            </w:r>
          </w:p>
        </w:tc>
        <w:tc>
          <w:tcPr>
            <w:tcW w:w="970" w:type="dxa"/>
          </w:tcPr>
          <w:p w14:paraId="5342220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2B21877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055ECC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3B68F89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514929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5784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15BE5659">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P8</w:t>
            </w:r>
          </w:p>
        </w:tc>
        <w:tc>
          <w:tcPr>
            <w:tcW w:w="2650" w:type="dxa"/>
          </w:tcPr>
          <w:p w14:paraId="4203540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could be threatened by fraud due to inadequate background checks on prospective employees.</w:t>
            </w:r>
          </w:p>
        </w:tc>
        <w:tc>
          <w:tcPr>
            <w:tcW w:w="970" w:type="dxa"/>
          </w:tcPr>
          <w:p w14:paraId="14BB2CC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6BB22D9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2D8B6BB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8AF58E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9F2ED4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3A43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24255D0F">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P9</w:t>
            </w:r>
          </w:p>
        </w:tc>
        <w:tc>
          <w:tcPr>
            <w:tcW w:w="2650" w:type="dxa"/>
          </w:tcPr>
          <w:p w14:paraId="486FBE0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could be threatened by fraud due to inadequate background checks on prospective vendors.</w:t>
            </w:r>
          </w:p>
        </w:tc>
        <w:tc>
          <w:tcPr>
            <w:tcW w:w="970" w:type="dxa"/>
          </w:tcPr>
          <w:p w14:paraId="01D9C12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19D3A7E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67DCD4E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1DE0BB8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186C51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2C10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5BD3D2F1">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P10</w:t>
            </w:r>
          </w:p>
        </w:tc>
        <w:tc>
          <w:tcPr>
            <w:tcW w:w="2650" w:type="dxa"/>
          </w:tcPr>
          <w:p w14:paraId="6850551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My company could be threatened by fraud due to management override of the controls.</w:t>
            </w:r>
          </w:p>
        </w:tc>
        <w:tc>
          <w:tcPr>
            <w:tcW w:w="970" w:type="dxa"/>
          </w:tcPr>
          <w:p w14:paraId="6CDD68FC">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051181A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0BA707E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21E62F6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16B4AAF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752A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7FCE0D62">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P11</w:t>
            </w:r>
          </w:p>
        </w:tc>
        <w:tc>
          <w:tcPr>
            <w:tcW w:w="2650" w:type="dxa"/>
          </w:tcPr>
          <w:p w14:paraId="1EE4592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Corporate crime mitigation in my company can be achieved by strengthening corporate governance through forensic accounting's preventive role.</w:t>
            </w:r>
          </w:p>
        </w:tc>
        <w:tc>
          <w:tcPr>
            <w:tcW w:w="970" w:type="dxa"/>
          </w:tcPr>
          <w:p w14:paraId="393CB3B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68C6393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178D910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2D018D2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2F91530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6F33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7261ABAF">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F</w:t>
            </w:r>
            <w:r>
              <w:rPr>
                <w:rFonts w:hint="default" w:ascii="Times New Roman" w:hAnsi="Times New Roman" w:eastAsia="Times New Roman" w:cs="Times New Roman"/>
                <w:color w:val="auto"/>
                <w:kern w:val="0"/>
                <w:lang w:val="en-US"/>
                <w14:ligatures w14:val="none"/>
              </w:rPr>
              <w:t>P12</w:t>
            </w:r>
          </w:p>
        </w:tc>
        <w:tc>
          <w:tcPr>
            <w:tcW w:w="2650" w:type="dxa"/>
          </w:tcPr>
          <w:p w14:paraId="28043C2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Inability of statutory auditing to identify, expose, and prevent weaknesses in corporate governance has made the need for forensic accounting in my company inevitable.</w:t>
            </w:r>
          </w:p>
        </w:tc>
        <w:tc>
          <w:tcPr>
            <w:tcW w:w="970" w:type="dxa"/>
          </w:tcPr>
          <w:p w14:paraId="45848D7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093309C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060A2BE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F43CB6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76DF4A5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6AA0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35E19643">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FP13</w:t>
            </w:r>
          </w:p>
        </w:tc>
        <w:tc>
          <w:tcPr>
            <w:tcW w:w="2650" w:type="dxa"/>
          </w:tcPr>
          <w:p w14:paraId="2A4E47C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Inability of statutory auditing to identify, expose, and prevent weaknesses in flawed internal controls has made the need for forensic accounting in my company inevitable.</w:t>
            </w:r>
          </w:p>
        </w:tc>
        <w:tc>
          <w:tcPr>
            <w:tcW w:w="970" w:type="dxa"/>
          </w:tcPr>
          <w:p w14:paraId="18257DE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715BFF7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7164CF1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436AD65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74AEA29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76FA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3063124A">
            <w:pPr>
              <w:widowControl/>
              <w:suppressAutoHyphens/>
              <w:bidi w:val="0"/>
              <w:spacing w:before="120" w:after="120" w:line="360" w:lineRule="auto"/>
              <w:ind w:firstLine="720"/>
              <w:jc w:val="both"/>
              <w:rPr>
                <w:rFonts w:hint="default" w:ascii="Times New Roman" w:hAnsi="Times New Roman" w:eastAsia="Times New Roman" w:cs="Times New Roman"/>
                <w:color w:val="auto"/>
                <w:kern w:val="0"/>
                <w:lang w:val="en-US"/>
                <w14:ligatures w14:val="none"/>
              </w:rPr>
            </w:pPr>
            <w:r>
              <w:rPr>
                <w:rFonts w:hint="default" w:ascii="Times New Roman" w:hAnsi="Times New Roman" w:eastAsia="Times New Roman" w:cs="Times New Roman"/>
                <w:color w:val="auto"/>
                <w:kern w:val="0"/>
                <w:lang w:val="en-US"/>
                <w14:ligatures w14:val="none"/>
              </w:rPr>
              <w:t>FP14</w:t>
            </w:r>
          </w:p>
        </w:tc>
        <w:tc>
          <w:tcPr>
            <w:tcW w:w="2650" w:type="dxa"/>
          </w:tcPr>
          <w:p w14:paraId="63C16A7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Inability of statutory auditing to identify, expose, and prevent weaknesses in fraudulent financial statements has made the need for forensic accounting in my company inevitable.</w:t>
            </w:r>
          </w:p>
        </w:tc>
        <w:tc>
          <w:tcPr>
            <w:tcW w:w="970" w:type="dxa"/>
          </w:tcPr>
          <w:p w14:paraId="0E1E18F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937" w:type="dxa"/>
          </w:tcPr>
          <w:p w14:paraId="33AFBAD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77A02D3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6F35FA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1056" w:type="dxa"/>
          </w:tcPr>
          <w:p w14:paraId="51A9B7B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bl>
    <w:p w14:paraId="23ECEED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p w14:paraId="75D1A403">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p>
    <w:p w14:paraId="0F9B5283">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SECTION E:ORGANISATIONAL EFFECTIVENESS</w:t>
      </w:r>
    </w:p>
    <w:p w14:paraId="31B0A802">
      <w:pPr>
        <w:widowControl/>
        <w:suppressAutoHyphens/>
        <w:bidi w:val="0"/>
        <w:spacing w:before="120" w:after="120" w:line="360" w:lineRule="auto"/>
        <w:ind w:firstLine="720"/>
        <w:jc w:val="both"/>
        <w:rPr>
          <w:rFonts w:ascii="Times New Roman" w:hAnsi="Times New Roman" w:eastAsia="Times New Roman" w:cs="Times New Roman"/>
          <w:b/>
          <w:bCs/>
          <w:caps/>
          <w:color w:val="auto"/>
          <w:kern w:val="0"/>
          <w:lang w:val="en-US"/>
          <w14:ligatures w14:val="none"/>
        </w:rPr>
      </w:pPr>
      <w:r>
        <w:rPr>
          <w:rFonts w:ascii="Times New Roman" w:hAnsi="Times New Roman" w:eastAsia="Calibri" w:cs="Times New Roman"/>
          <w:color w:val="auto"/>
          <w:kern w:val="0"/>
          <w:lang w:val="en-US"/>
          <w14:ligatures w14:val="none"/>
        </w:rPr>
        <w:t>Please indicate your level of agreement to each of the following statements anchored on the scale: where 1=Strongly Disagree, 2=Disagree, 3=Neutral, 4=Agree and 5=Strongly Agree.</w:t>
      </w:r>
    </w:p>
    <w:p w14:paraId="6A1D436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6"/>
        <w:gridCol w:w="1972"/>
        <w:gridCol w:w="1056"/>
        <w:gridCol w:w="1056"/>
        <w:gridCol w:w="1056"/>
        <w:gridCol w:w="1056"/>
        <w:gridCol w:w="1056"/>
      </w:tblGrid>
      <w:tr w14:paraId="526B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7C0B2B24">
            <w:pPr>
              <w:widowControl/>
              <w:suppressAutoHyphens/>
              <w:bidi w:val="0"/>
              <w:spacing w:before="120" w:after="120" w:line="360" w:lineRule="auto"/>
              <w:ind w:left="0" w:leftChars="0" w:firstLine="0" w:firstLineChars="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Code</w:t>
            </w:r>
          </w:p>
        </w:tc>
        <w:tc>
          <w:tcPr>
            <w:tcW w:w="2466" w:type="dxa"/>
          </w:tcPr>
          <w:p w14:paraId="53830747">
            <w:pPr>
              <w:widowControl/>
              <w:suppressAutoHyphens/>
              <w:bidi w:val="0"/>
              <w:spacing w:before="120" w:after="120" w:line="360" w:lineRule="auto"/>
              <w:ind w:left="0" w:leftChars="0" w:firstLine="0" w:firstLineChars="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Questionnaire Item</w:t>
            </w:r>
          </w:p>
        </w:tc>
        <w:tc>
          <w:tcPr>
            <w:tcW w:w="0" w:type="auto"/>
          </w:tcPr>
          <w:p w14:paraId="64BB0ABA">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1</w:t>
            </w:r>
          </w:p>
        </w:tc>
        <w:tc>
          <w:tcPr>
            <w:tcW w:w="0" w:type="auto"/>
          </w:tcPr>
          <w:p w14:paraId="76977CE6">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2</w:t>
            </w:r>
          </w:p>
        </w:tc>
        <w:tc>
          <w:tcPr>
            <w:tcW w:w="0" w:type="auto"/>
          </w:tcPr>
          <w:p w14:paraId="2C9F8302">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3</w:t>
            </w:r>
          </w:p>
        </w:tc>
        <w:tc>
          <w:tcPr>
            <w:tcW w:w="0" w:type="auto"/>
          </w:tcPr>
          <w:p w14:paraId="7E71BC83">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4</w:t>
            </w:r>
          </w:p>
        </w:tc>
        <w:tc>
          <w:tcPr>
            <w:tcW w:w="0" w:type="auto"/>
          </w:tcPr>
          <w:p w14:paraId="6C59F728">
            <w:pPr>
              <w:widowControl/>
              <w:suppressAutoHyphens/>
              <w:bidi w:val="0"/>
              <w:spacing w:before="120" w:after="120" w:line="360" w:lineRule="auto"/>
              <w:ind w:firstLine="720"/>
              <w:jc w:val="both"/>
              <w:rPr>
                <w:rFonts w:ascii="Times New Roman" w:hAnsi="Times New Roman" w:eastAsia="Times New Roman" w:cs="Times New Roman"/>
                <w:b/>
                <w:bCs/>
                <w:color w:val="auto"/>
                <w:kern w:val="0"/>
                <w:lang w:val="en-US"/>
                <w14:ligatures w14:val="none"/>
              </w:rPr>
            </w:pPr>
            <w:r>
              <w:rPr>
                <w:rFonts w:ascii="Times New Roman" w:hAnsi="Times New Roman" w:eastAsia="Times New Roman" w:cs="Times New Roman"/>
                <w:b/>
                <w:bCs/>
                <w:color w:val="auto"/>
                <w:kern w:val="0"/>
                <w:lang w:val="en-US"/>
                <w14:ligatures w14:val="none"/>
              </w:rPr>
              <w:t>5</w:t>
            </w:r>
          </w:p>
        </w:tc>
      </w:tr>
      <w:tr w14:paraId="0B937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06D5D4AC">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w:t>
            </w:r>
          </w:p>
        </w:tc>
        <w:tc>
          <w:tcPr>
            <w:tcW w:w="2466" w:type="dxa"/>
          </w:tcPr>
          <w:p w14:paraId="544C81C8">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Desired level of output is always attained.</w:t>
            </w:r>
          </w:p>
        </w:tc>
        <w:tc>
          <w:tcPr>
            <w:tcW w:w="0" w:type="auto"/>
          </w:tcPr>
          <w:p w14:paraId="161BB17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F73297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009DBB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540065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4408DF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26C2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3434DFAA">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OE2</w:t>
            </w:r>
          </w:p>
        </w:tc>
        <w:tc>
          <w:tcPr>
            <w:tcW w:w="2466" w:type="dxa"/>
          </w:tcPr>
          <w:p w14:paraId="6B7553D2">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Set quantity of products or services is achieved at all time.</w:t>
            </w:r>
          </w:p>
        </w:tc>
        <w:tc>
          <w:tcPr>
            <w:tcW w:w="0" w:type="auto"/>
          </w:tcPr>
          <w:p w14:paraId="0F1DA20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EDE321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D35BCF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19ED9D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618215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18BD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1CEBCF2D">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OE3</w:t>
            </w:r>
          </w:p>
        </w:tc>
        <w:tc>
          <w:tcPr>
            <w:tcW w:w="2466" w:type="dxa"/>
          </w:tcPr>
          <w:p w14:paraId="1D77A87F">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Set quantity of products or services is frequently attained.</w:t>
            </w:r>
          </w:p>
        </w:tc>
        <w:tc>
          <w:tcPr>
            <w:tcW w:w="0" w:type="auto"/>
          </w:tcPr>
          <w:p w14:paraId="1287DDF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15C023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1CCA5A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2FBFD0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8275A3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7036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2B33324B">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OE4</w:t>
            </w:r>
          </w:p>
        </w:tc>
        <w:tc>
          <w:tcPr>
            <w:tcW w:w="2466" w:type="dxa"/>
          </w:tcPr>
          <w:p w14:paraId="661D401C">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Desired input output ratio is attained at all time.</w:t>
            </w:r>
          </w:p>
        </w:tc>
        <w:tc>
          <w:tcPr>
            <w:tcW w:w="0" w:type="auto"/>
          </w:tcPr>
          <w:p w14:paraId="0B315C5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FB0849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1DA9E6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AFB5BF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802D87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5B5F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05ECD66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OE5</w:t>
            </w:r>
          </w:p>
        </w:tc>
        <w:tc>
          <w:tcPr>
            <w:tcW w:w="2466" w:type="dxa"/>
          </w:tcPr>
          <w:p w14:paraId="69EA6F41">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Production or service processes are regularly carried out efficiently.</w:t>
            </w:r>
          </w:p>
        </w:tc>
        <w:tc>
          <w:tcPr>
            <w:tcW w:w="0" w:type="auto"/>
          </w:tcPr>
          <w:p w14:paraId="61BB0D2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FF419E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293C95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A9F7DB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3A7E74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C9B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6E5DB51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OE6</w:t>
            </w:r>
          </w:p>
        </w:tc>
        <w:tc>
          <w:tcPr>
            <w:tcW w:w="2466" w:type="dxa"/>
          </w:tcPr>
          <w:p w14:paraId="1BF8F452">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Net profit is regularly recorded.</w:t>
            </w:r>
          </w:p>
        </w:tc>
        <w:tc>
          <w:tcPr>
            <w:tcW w:w="0" w:type="auto"/>
          </w:tcPr>
          <w:p w14:paraId="38C1B3D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A1D5F4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3DDF42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4EC344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49ED69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1933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417D7E7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OE7</w:t>
            </w:r>
          </w:p>
        </w:tc>
        <w:tc>
          <w:tcPr>
            <w:tcW w:w="2466" w:type="dxa"/>
          </w:tcPr>
          <w:p w14:paraId="0669A028">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Departmental or sectional output goals are often achieved.</w:t>
            </w:r>
          </w:p>
        </w:tc>
        <w:tc>
          <w:tcPr>
            <w:tcW w:w="0" w:type="auto"/>
          </w:tcPr>
          <w:p w14:paraId="1D31DAD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CA5992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7F0B98C">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90ADD9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0E2D5E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03A7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6EECBCA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OE8</w:t>
            </w:r>
          </w:p>
        </w:tc>
        <w:tc>
          <w:tcPr>
            <w:tcW w:w="2466" w:type="dxa"/>
          </w:tcPr>
          <w:p w14:paraId="0B0EC600">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Desired market share is often attained.</w:t>
            </w:r>
          </w:p>
        </w:tc>
        <w:tc>
          <w:tcPr>
            <w:tcW w:w="0" w:type="auto"/>
          </w:tcPr>
          <w:p w14:paraId="50CEB00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4433DE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2AAA674">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7C07A5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E216EE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46B7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554F8B2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OE9</w:t>
            </w:r>
          </w:p>
        </w:tc>
        <w:tc>
          <w:tcPr>
            <w:tcW w:w="2466" w:type="dxa"/>
          </w:tcPr>
          <w:p w14:paraId="67991D7E">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Output per unit input is always as desired.</w:t>
            </w:r>
          </w:p>
        </w:tc>
        <w:tc>
          <w:tcPr>
            <w:tcW w:w="0" w:type="auto"/>
          </w:tcPr>
          <w:p w14:paraId="780D66E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532917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003C71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BF8B78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FA5CD0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63BA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7E1BE63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OE10</w:t>
            </w:r>
          </w:p>
        </w:tc>
        <w:tc>
          <w:tcPr>
            <w:tcW w:w="2466" w:type="dxa"/>
          </w:tcPr>
          <w:p w14:paraId="0F5D0037">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Standards of regulatory agencies are regularly attained.</w:t>
            </w:r>
          </w:p>
        </w:tc>
        <w:tc>
          <w:tcPr>
            <w:tcW w:w="0" w:type="auto"/>
          </w:tcPr>
          <w:p w14:paraId="7DDE053C">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97BC50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C42B60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64DD02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2376F6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10B4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731F842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OE11</w:t>
            </w:r>
          </w:p>
        </w:tc>
        <w:tc>
          <w:tcPr>
            <w:tcW w:w="2466" w:type="dxa"/>
          </w:tcPr>
          <w:p w14:paraId="1B1EF085">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Outputs or services are produced within the shortest possible time.</w:t>
            </w:r>
          </w:p>
        </w:tc>
        <w:tc>
          <w:tcPr>
            <w:tcW w:w="0" w:type="auto"/>
          </w:tcPr>
          <w:p w14:paraId="0CFDD21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071A9E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38FCBD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E8B2D6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C58AB6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6E9F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791563D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OE12</w:t>
            </w:r>
          </w:p>
        </w:tc>
        <w:tc>
          <w:tcPr>
            <w:tcW w:w="2466" w:type="dxa"/>
          </w:tcPr>
          <w:p w14:paraId="44A407D2">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Earnings per share is comparatively satisfactory.</w:t>
            </w:r>
          </w:p>
        </w:tc>
        <w:tc>
          <w:tcPr>
            <w:tcW w:w="0" w:type="auto"/>
          </w:tcPr>
          <w:p w14:paraId="63CCDF8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5A8088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A5BC54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0DAC5BB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8480973">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2715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6F3C756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OE13</w:t>
            </w:r>
          </w:p>
        </w:tc>
        <w:tc>
          <w:tcPr>
            <w:tcW w:w="2466" w:type="dxa"/>
          </w:tcPr>
          <w:p w14:paraId="7D711DB9">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Things are always done at the right time.</w:t>
            </w:r>
          </w:p>
        </w:tc>
        <w:tc>
          <w:tcPr>
            <w:tcW w:w="0" w:type="auto"/>
          </w:tcPr>
          <w:p w14:paraId="778E47A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85FBED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C290A9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D88C79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35E6359">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6CE8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11ED799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OE14</w:t>
            </w:r>
          </w:p>
        </w:tc>
        <w:tc>
          <w:tcPr>
            <w:tcW w:w="2466" w:type="dxa"/>
          </w:tcPr>
          <w:p w14:paraId="5E5E52B2">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Products or services are made in response to demand of the environment.</w:t>
            </w:r>
          </w:p>
        </w:tc>
        <w:tc>
          <w:tcPr>
            <w:tcW w:w="0" w:type="auto"/>
          </w:tcPr>
          <w:p w14:paraId="6397636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1CC95F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60A13B9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478893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3F34F000">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7E01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1E74DBC5">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OE15</w:t>
            </w:r>
          </w:p>
        </w:tc>
        <w:tc>
          <w:tcPr>
            <w:tcW w:w="2466" w:type="dxa"/>
          </w:tcPr>
          <w:p w14:paraId="041FCFB0">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Desired productivity level is always achieved.</w:t>
            </w:r>
          </w:p>
        </w:tc>
        <w:tc>
          <w:tcPr>
            <w:tcW w:w="0" w:type="auto"/>
          </w:tcPr>
          <w:p w14:paraId="536F527A">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0BBED5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48DB07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7AB8DC76">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20EEA377">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33EA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24E7CBA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OE16</w:t>
            </w:r>
          </w:p>
        </w:tc>
        <w:tc>
          <w:tcPr>
            <w:tcW w:w="2466" w:type="dxa"/>
          </w:tcPr>
          <w:p w14:paraId="6B7BD3B3">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Desired degree of expansion is usually attained.</w:t>
            </w:r>
          </w:p>
        </w:tc>
        <w:tc>
          <w:tcPr>
            <w:tcW w:w="0" w:type="auto"/>
          </w:tcPr>
          <w:p w14:paraId="08756FA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C49AD7E">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191815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561C5DF1">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94CD73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r w14:paraId="26FE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Pr>
          <w:p w14:paraId="3DA1980B">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OE17</w:t>
            </w:r>
          </w:p>
        </w:tc>
        <w:tc>
          <w:tcPr>
            <w:tcW w:w="2466" w:type="dxa"/>
          </w:tcPr>
          <w:p w14:paraId="7B52AB65">
            <w:pPr>
              <w:widowControl/>
              <w:suppressAutoHyphens/>
              <w:bidi w:val="0"/>
              <w:spacing w:before="120" w:after="120" w:line="360" w:lineRule="auto"/>
              <w:ind w:left="0" w:leftChars="0" w:firstLine="0" w:firstLineChars="0"/>
              <w:jc w:val="both"/>
              <w:rPr>
                <w:rFonts w:ascii="Times New Roman" w:hAnsi="Times New Roman" w:eastAsia="Times New Roman" w:cs="Times New Roman"/>
                <w:color w:val="auto"/>
                <w:kern w:val="0"/>
                <w:lang w:val="en-US"/>
                <w14:ligatures w14:val="none"/>
              </w:rPr>
            </w:pPr>
            <w:r>
              <w:rPr>
                <w:rFonts w:ascii="Times New Roman" w:hAnsi="Times New Roman" w:eastAsia="Times New Roman" w:cs="Times New Roman"/>
                <w:color w:val="auto"/>
                <w:kern w:val="0"/>
                <w:lang w:val="en-US"/>
                <w14:ligatures w14:val="none"/>
              </w:rPr>
              <w:t>Interests of the various constituencies are often satisfied.</w:t>
            </w:r>
          </w:p>
        </w:tc>
        <w:tc>
          <w:tcPr>
            <w:tcW w:w="0" w:type="auto"/>
          </w:tcPr>
          <w:p w14:paraId="2D8633E2">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081380D">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850011F">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4047D72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c>
          <w:tcPr>
            <w:tcW w:w="0" w:type="auto"/>
          </w:tcPr>
          <w:p w14:paraId="1F15EBA8">
            <w:pPr>
              <w:widowControl/>
              <w:suppressAutoHyphens/>
              <w:bidi w:val="0"/>
              <w:spacing w:before="120" w:after="120" w:line="360" w:lineRule="auto"/>
              <w:ind w:firstLine="720"/>
              <w:jc w:val="both"/>
              <w:rPr>
                <w:rFonts w:ascii="Times New Roman" w:hAnsi="Times New Roman" w:eastAsia="Times New Roman" w:cs="Times New Roman"/>
                <w:color w:val="auto"/>
                <w:kern w:val="0"/>
                <w:lang w:val="en-US"/>
                <w14:ligatures w14:val="none"/>
              </w:rPr>
            </w:pPr>
          </w:p>
        </w:tc>
      </w:tr>
    </w:tbl>
    <w:p w14:paraId="084445F6">
      <w:pPr>
        <w:spacing w:after="0" w:line="480" w:lineRule="auto"/>
        <w:rPr>
          <w:rFonts w:hint="default"/>
          <w:lang w:val="en-US"/>
        </w:rPr>
      </w:pPr>
    </w:p>
    <w:p w14:paraId="11885DD1">
      <w:pPr>
        <w:spacing w:after="0" w:line="480" w:lineRule="auto"/>
        <w:rPr>
          <w:rFonts w:hint="default"/>
          <w:lang w:val="en-US"/>
        </w:rPr>
      </w:pPr>
    </w:p>
    <w:sectPr>
      <w:footerReference r:id="rId7" w:type="default"/>
      <w:pgSz w:w="12240" w:h="15840"/>
      <w:pgMar w:top="1440" w:right="1440" w:bottom="1440" w:left="2268" w:header="709" w:footer="709"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038"/>
      <w:docPartObj>
        <w:docPartGallery w:val="autotext"/>
      </w:docPartObj>
    </w:sdtPr>
    <w:sdtContent>
      <w:p w14:paraId="54891D7C">
        <w:pPr>
          <w:pStyle w:val="5"/>
          <w:jc w:val="center"/>
        </w:pPr>
        <w:r>
          <w:fldChar w:fldCharType="begin"/>
        </w:r>
        <w:r>
          <w:instrText xml:space="preserve"> PAGE   \* MERGEFORMAT </w:instrText>
        </w:r>
        <w:r>
          <w:fldChar w:fldCharType="separate"/>
        </w:r>
        <w:r>
          <w:t>2</w:t>
        </w:r>
        <w:r>
          <w:fldChar w:fldCharType="end"/>
        </w:r>
      </w:p>
    </w:sdtContent>
  </w:sdt>
  <w:p w14:paraId="58B9B5C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eastAsia="Times New Roman" w:cs="Times New Roman"/>
        <w:color w:val="auto"/>
        <w:kern w:val="0"/>
        <w:sz w:val="24"/>
        <w:szCs w:val="24"/>
        <w:lang w:val="en-US" w:eastAsia="en-US" w:bidi="ar-SA"/>
        <w14:ligatures w14:val="none"/>
      </w:rPr>
      <w:id w:val="147476160"/>
      <w:docPartObj>
        <w:docPartGallery w:val="autotext"/>
      </w:docPartObj>
    </w:sdtPr>
    <w:sdtEndPr>
      <w:rPr>
        <w:rFonts w:ascii="Times New Roman" w:hAnsi="Times New Roman" w:eastAsia="Times New Roman" w:cs="Times New Roman"/>
        <w:color w:val="auto"/>
        <w:kern w:val="0"/>
        <w:sz w:val="24"/>
        <w:szCs w:val="24"/>
        <w:lang w:val="en-US" w:eastAsia="en-US" w:bidi="ar-SA"/>
        <w14:ligatures w14:val="none"/>
      </w:rPr>
    </w:sdtEndPr>
    <w:sdtContent>
      <w:p w14:paraId="6150601C">
        <w:pPr>
          <w:widowControl/>
          <w:tabs>
            <w:tab w:val="center" w:pos="4513"/>
            <w:tab w:val="right" w:pos="9026"/>
          </w:tabs>
          <w:suppressAutoHyphens/>
          <w:bidi w:val="0"/>
          <w:spacing w:before="120" w:after="120" w:line="480" w:lineRule="auto"/>
          <w:ind w:firstLine="720"/>
          <w:jc w:val="center"/>
          <w:rPr>
            <w:rFonts w:ascii="Times New Roman" w:hAnsi="Times New Roman" w:eastAsia="Times New Roman" w:cs="Times New Roman"/>
            <w:color w:val="auto"/>
            <w:kern w:val="0"/>
            <w:sz w:val="24"/>
            <w:szCs w:val="24"/>
            <w:lang w:val="en-US" w:eastAsia="en-US" w:bidi="ar-SA"/>
            <w14:ligatures w14:val="none"/>
          </w:rPr>
        </w:pPr>
        <w:r>
          <w:rPr>
            <w:rFonts w:ascii="Times New Roman" w:hAnsi="Times New Roman" w:eastAsia="Times New Roman" w:cs="Times New Roman"/>
            <w:color w:val="auto"/>
            <w:kern w:val="0"/>
            <w:sz w:val="24"/>
            <w:szCs w:val="24"/>
            <w:lang w:val="en-US" w:eastAsia="en-US" w:bidi="ar-SA"/>
            <w14:ligatures w14:val="none"/>
          </w:rPr>
          <w:fldChar w:fldCharType="begin"/>
        </w:r>
        <w:r>
          <w:rPr>
            <w:rFonts w:ascii="Times New Roman" w:hAnsi="Times New Roman" w:eastAsia="Times New Roman" w:cs="Times New Roman"/>
            <w:color w:val="auto"/>
            <w:kern w:val="0"/>
            <w:sz w:val="24"/>
            <w:szCs w:val="24"/>
            <w:lang w:val="en-US" w:eastAsia="en-US" w:bidi="ar-SA"/>
            <w14:ligatures w14:val="none"/>
          </w:rPr>
          <w:instrText xml:space="preserve"> PAGE   \* MERGEFORMAT </w:instrText>
        </w:r>
        <w:r>
          <w:rPr>
            <w:rFonts w:ascii="Times New Roman" w:hAnsi="Times New Roman" w:eastAsia="Times New Roman" w:cs="Times New Roman"/>
            <w:color w:val="auto"/>
            <w:kern w:val="0"/>
            <w:sz w:val="24"/>
            <w:szCs w:val="24"/>
            <w:lang w:val="en-US" w:eastAsia="en-US" w:bidi="ar-SA"/>
            <w14:ligatures w14:val="none"/>
          </w:rPr>
          <w:fldChar w:fldCharType="separate"/>
        </w:r>
        <w:r>
          <w:rPr>
            <w:rFonts w:ascii="Times New Roman" w:hAnsi="Times New Roman" w:eastAsia="Times New Roman" w:cs="Times New Roman"/>
            <w:color w:val="auto"/>
            <w:kern w:val="0"/>
            <w:sz w:val="24"/>
            <w:szCs w:val="24"/>
            <w:lang w:val="en-US" w:eastAsia="en-US" w:bidi="ar-SA"/>
            <w14:ligatures w14:val="none"/>
          </w:rPr>
          <w:t>56</w:t>
        </w:r>
        <w:r>
          <w:rPr>
            <w:rFonts w:ascii="Times New Roman" w:hAnsi="Times New Roman" w:eastAsia="Times New Roman" w:cs="Times New Roman"/>
            <w:color w:val="auto"/>
            <w:kern w:val="0"/>
            <w:sz w:val="24"/>
            <w:szCs w:val="24"/>
            <w:lang w:val="en-US" w:eastAsia="en-US" w:bidi="ar-SA"/>
            <w14:ligatures w14:val="none"/>
          </w:rPr>
          <w:fldChar w:fldCharType="end"/>
        </w:r>
      </w:p>
    </w:sdtContent>
  </w:sdt>
  <w:p w14:paraId="2E3CBEED">
    <w:pPr>
      <w:widowControl/>
      <w:tabs>
        <w:tab w:val="center" w:pos="4513"/>
        <w:tab w:val="right" w:pos="9026"/>
      </w:tabs>
      <w:suppressAutoHyphens/>
      <w:bidi w:val="0"/>
      <w:spacing w:before="120" w:after="120" w:line="480" w:lineRule="auto"/>
      <w:ind w:firstLine="720"/>
      <w:jc w:val="left"/>
      <w:rPr>
        <w:rFonts w:ascii="Times New Roman" w:hAnsi="Times New Roman" w:eastAsia="Times New Roman" w:cs="Times New Roman"/>
        <w:color w:val="auto"/>
        <w:kern w:val="0"/>
        <w:sz w:val="24"/>
        <w:szCs w:val="24"/>
        <w:lang w:val="en-US" w:eastAsia="en-US" w:bidi="ar-SA"/>
        <w14:ligatures w14:val="no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04F39">
    <w:pPr>
      <w:pStyle w:val="5"/>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43324E">
                          <w:pPr>
                            <w:pStyle w:val="5"/>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IGsbUAhAgAA&#10;YAQAAA4AAAAAAAAAAQAgAAAAHwEAAGRycy9lMm9Eb2MueG1sUEsFBgAAAAAGAAYAWQEAALIFAAAA&#10;AA==&#10;">
              <v:fill on="f" focussize="0,0"/>
              <v:stroke on="f" weight="0.5pt"/>
              <v:imagedata o:title=""/>
              <o:lock v:ext="edit" aspectratio="f"/>
              <v:textbox inset="0mm,0mm,0mm,0mm" style="mso-fit-shape-to-text:t;">
                <w:txbxContent>
                  <w:p w14:paraId="0A43324E">
                    <w:pPr>
                      <w:pStyle w:val="5"/>
                    </w:pPr>
                    <w:r>
                      <w:fldChar w:fldCharType="begin"/>
                    </w:r>
                    <w:r>
                      <w:instrText xml:space="preserve"> PAGE  \* MERGEFORMAT </w:instrText>
                    </w:r>
                    <w:r>
                      <w:fldChar w:fldCharType="separate"/>
                    </w:r>
                    <w:r>
                      <w:t>i</w:t>
                    </w:r>
                    <w:r>
                      <w:fldChar w:fldCharType="end"/>
                    </w:r>
                  </w:p>
                </w:txbxContent>
              </v:textbox>
            </v:shape>
          </w:pict>
        </mc:Fallback>
      </mc:AlternateContent>
    </w:r>
    <w:sdt>
      <w:sdtPr>
        <w:id w:val="147464296"/>
        <w:showingPlcHdr/>
        <w:docPartObj>
          <w:docPartGallery w:val="autotext"/>
        </w:docPartObj>
      </w:sdtPr>
      <w:sdtContent>
        <w:r>
          <w:rPr>
            <w:lang w:val="en-US"/>
          </w:rPr>
          <w:t xml:space="preserve">     </w:t>
        </w:r>
      </w:sdtContent>
    </w:sdt>
  </w:p>
  <w:p w14:paraId="79EDA030">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2DB"/>
    <w:rsid w:val="00001C0E"/>
    <w:rsid w:val="000135C9"/>
    <w:rsid w:val="00014CA7"/>
    <w:rsid w:val="00025286"/>
    <w:rsid w:val="00027B9F"/>
    <w:rsid w:val="000362B9"/>
    <w:rsid w:val="000A51B0"/>
    <w:rsid w:val="000D13A2"/>
    <w:rsid w:val="0010365D"/>
    <w:rsid w:val="0011055E"/>
    <w:rsid w:val="00132DB5"/>
    <w:rsid w:val="00147EC0"/>
    <w:rsid w:val="001603DE"/>
    <w:rsid w:val="001E215F"/>
    <w:rsid w:val="002053BD"/>
    <w:rsid w:val="00227188"/>
    <w:rsid w:val="002274DC"/>
    <w:rsid w:val="00285183"/>
    <w:rsid w:val="002C16BE"/>
    <w:rsid w:val="00306987"/>
    <w:rsid w:val="003156E8"/>
    <w:rsid w:val="00316FBA"/>
    <w:rsid w:val="0036306C"/>
    <w:rsid w:val="003A3AD9"/>
    <w:rsid w:val="003A4695"/>
    <w:rsid w:val="003B42A1"/>
    <w:rsid w:val="003C1A48"/>
    <w:rsid w:val="003C2375"/>
    <w:rsid w:val="004251EB"/>
    <w:rsid w:val="00452FA9"/>
    <w:rsid w:val="00466338"/>
    <w:rsid w:val="00496C6F"/>
    <w:rsid w:val="004F471F"/>
    <w:rsid w:val="00501C64"/>
    <w:rsid w:val="005B564F"/>
    <w:rsid w:val="005B7A92"/>
    <w:rsid w:val="00607E22"/>
    <w:rsid w:val="006352DB"/>
    <w:rsid w:val="006451BD"/>
    <w:rsid w:val="00673BA0"/>
    <w:rsid w:val="00677123"/>
    <w:rsid w:val="00691EC8"/>
    <w:rsid w:val="006A6E3A"/>
    <w:rsid w:val="006B52CD"/>
    <w:rsid w:val="006F5594"/>
    <w:rsid w:val="006F7F16"/>
    <w:rsid w:val="0072738B"/>
    <w:rsid w:val="007C265A"/>
    <w:rsid w:val="007E3390"/>
    <w:rsid w:val="0082103F"/>
    <w:rsid w:val="008D3C81"/>
    <w:rsid w:val="008E348F"/>
    <w:rsid w:val="009122B1"/>
    <w:rsid w:val="00927ECD"/>
    <w:rsid w:val="00960043"/>
    <w:rsid w:val="009A2AA6"/>
    <w:rsid w:val="00A00CD0"/>
    <w:rsid w:val="00A27F25"/>
    <w:rsid w:val="00A522FC"/>
    <w:rsid w:val="00A569D6"/>
    <w:rsid w:val="00B4277C"/>
    <w:rsid w:val="00B56D1A"/>
    <w:rsid w:val="00B64BFC"/>
    <w:rsid w:val="00B65589"/>
    <w:rsid w:val="00BA3C0C"/>
    <w:rsid w:val="00BD4DE6"/>
    <w:rsid w:val="00BF07B7"/>
    <w:rsid w:val="00BF4486"/>
    <w:rsid w:val="00C6033F"/>
    <w:rsid w:val="00C651C9"/>
    <w:rsid w:val="00C923C5"/>
    <w:rsid w:val="00C97E57"/>
    <w:rsid w:val="00CD10CD"/>
    <w:rsid w:val="00CE4F21"/>
    <w:rsid w:val="00CE73C3"/>
    <w:rsid w:val="00CF27DE"/>
    <w:rsid w:val="00D00A9A"/>
    <w:rsid w:val="00D24AEA"/>
    <w:rsid w:val="00D47943"/>
    <w:rsid w:val="00D505B1"/>
    <w:rsid w:val="00DF5DF4"/>
    <w:rsid w:val="00E44D4A"/>
    <w:rsid w:val="00E63A62"/>
    <w:rsid w:val="00E640EE"/>
    <w:rsid w:val="00EB054C"/>
    <w:rsid w:val="00ED63AB"/>
    <w:rsid w:val="00EF2031"/>
    <w:rsid w:val="00EF36AC"/>
    <w:rsid w:val="00EF7C50"/>
    <w:rsid w:val="00F16B71"/>
    <w:rsid w:val="00F3437D"/>
    <w:rsid w:val="00F463EB"/>
    <w:rsid w:val="00F94E7E"/>
    <w:rsid w:val="00FA193F"/>
    <w:rsid w:val="00FB5C72"/>
    <w:rsid w:val="00FC572C"/>
    <w:rsid w:val="00FD0986"/>
    <w:rsid w:val="00FF0337"/>
    <w:rsid w:val="00FF4829"/>
    <w:rsid w:val="01E50D53"/>
    <w:rsid w:val="02D45932"/>
    <w:rsid w:val="064829DB"/>
    <w:rsid w:val="08487F22"/>
    <w:rsid w:val="0D9C211C"/>
    <w:rsid w:val="0F6F7BB7"/>
    <w:rsid w:val="17E93546"/>
    <w:rsid w:val="1A5326BB"/>
    <w:rsid w:val="1B520060"/>
    <w:rsid w:val="288738AA"/>
    <w:rsid w:val="2D7968A6"/>
    <w:rsid w:val="348338B6"/>
    <w:rsid w:val="3AC4344A"/>
    <w:rsid w:val="43F25407"/>
    <w:rsid w:val="45967968"/>
    <w:rsid w:val="48EB00AD"/>
    <w:rsid w:val="60C223CE"/>
    <w:rsid w:val="629E2BD8"/>
    <w:rsid w:val="6B62243D"/>
    <w:rsid w:val="71AA0854"/>
    <w:rsid w:val="71E93FCA"/>
    <w:rsid w:val="7D562FA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cs="Times New Roman" w:eastAsiaTheme="minorHAnsi"/>
      <w:sz w:val="24"/>
      <w:szCs w:val="24"/>
      <w:lang w:val="en-GB" w:eastAsia="en-US" w:bidi="ar-SA"/>
    </w:rPr>
  </w:style>
  <w:style w:type="paragraph" w:styleId="2">
    <w:name w:val="heading 1"/>
    <w:basedOn w:val="1"/>
    <w:next w:val="1"/>
    <w:link w:val="9"/>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1"/>
    <w:unhideWhenUsed/>
    <w:qFormat/>
    <w:uiPriority w:val="99"/>
    <w:pPr>
      <w:tabs>
        <w:tab w:val="center" w:pos="4680"/>
        <w:tab w:val="right" w:pos="9360"/>
      </w:tabs>
      <w:spacing w:after="0" w:line="240" w:lineRule="auto"/>
    </w:pPr>
  </w:style>
  <w:style w:type="paragraph" w:styleId="6">
    <w:name w:val="header"/>
    <w:basedOn w:val="1"/>
    <w:link w:val="10"/>
    <w:unhideWhenUsed/>
    <w:qFormat/>
    <w:uiPriority w:val="99"/>
    <w:pPr>
      <w:tabs>
        <w:tab w:val="center" w:pos="4680"/>
        <w:tab w:val="right" w:pos="9360"/>
      </w:tabs>
      <w:spacing w:after="0" w:line="240" w:lineRule="auto"/>
    </w:pPr>
  </w:style>
  <w:style w:type="table" w:styleId="7">
    <w:name w:val="Table Grid"/>
    <w:qFormat/>
    <w:uiPriority w:val="39"/>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left="720"/>
      <w:contextualSpacing/>
    </w:pPr>
  </w:style>
  <w:style w:type="character" w:customStyle="1" w:styleId="9">
    <w:name w:val="Heading 1 Char"/>
    <w:basedOn w:val="3"/>
    <w:link w:val="2"/>
    <w:qFormat/>
    <w:uiPriority w:val="9"/>
    <w:rPr>
      <w:rFonts w:asciiTheme="majorHAnsi" w:hAnsiTheme="majorHAnsi" w:eastAsiaTheme="majorEastAsia" w:cstheme="majorBidi"/>
      <w:color w:val="2F5597" w:themeColor="accent1" w:themeShade="BF"/>
      <w:sz w:val="32"/>
      <w:szCs w:val="32"/>
    </w:rPr>
  </w:style>
  <w:style w:type="character" w:customStyle="1" w:styleId="10">
    <w:name w:val="Header Char"/>
    <w:basedOn w:val="3"/>
    <w:link w:val="6"/>
    <w:qFormat/>
    <w:uiPriority w:val="99"/>
  </w:style>
  <w:style w:type="character" w:customStyle="1" w:styleId="11">
    <w:name w:val="Footer Char"/>
    <w:basedOn w:val="3"/>
    <w:link w:val="5"/>
    <w:qFormat/>
    <w:uiPriority w:val="99"/>
  </w:style>
  <w:style w:type="table" w:customStyle="1" w:styleId="12">
    <w:name w:val="Grid Table Light"/>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98</Pages>
  <Words>17960</Words>
  <Characters>109662</Characters>
  <Lines>30</Lines>
  <Paragraphs>8</Paragraphs>
  <TotalTime>79</TotalTime>
  <ScaleCrop>false</ScaleCrop>
  <LinksUpToDate>false</LinksUpToDate>
  <CharactersWithSpaces>126967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2022-08-02T05:08:00Z</dcterms:created>
  <dc:creator>Ruby Melody Agbola</dc:creator>
  <cp:lastModifiedBy>user</cp:lastModifiedBy>
  <dcterms:modified xsi:type="dcterms:W3CDTF">2026-10-24T13:23:01Z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eyJoZGlkIjoiOWYxN2ExZTU1OGMyMzA5OTVkYWIzMjM5ODlkMGM2MjIifQ==</vt:lpwstr>
  </property>
  <property fmtid="{D5CDD505-2E9C-101B-9397-08002B2CF9AE}" pid="3" name="KSOProductBuildVer">
    <vt:lpwstr>1033-12.1.0.29162</vt:lpwstr>
  </property>
  <property fmtid="{D5CDD505-2E9C-101B-9397-08002B2CF9AE}" pid="4" name="ICV">
    <vt:lpwstr>A13B210DB21743F7B098C77447A21332_13</vt:lpwstr>
  </property>
</Properties>
</file>