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4E0B6F" w14:textId="77777777" w:rsidR="00E6027D" w:rsidRDefault="00000000">
      <w:pPr>
        <w:spacing w:after="100"/>
        <w:jc w:val="center"/>
      </w:pPr>
      <w:r>
        <w:rPr>
          <w:b/>
          <w:sz w:val="34"/>
        </w:rPr>
        <w:t>Intelligent Agricultural Market Price Forecasting</w:t>
      </w:r>
      <w:r>
        <w:rPr>
          <w:b/>
          <w:sz w:val="34"/>
        </w:rPr>
        <w:br/>
        <w:t>and Recommendation Using Machine Learning</w:t>
      </w:r>
    </w:p>
    <w:p w14:paraId="6119552C" w14:textId="0A5C3FE4" w:rsidR="00E6027D" w:rsidRDefault="00000000">
      <w:pPr>
        <w:spacing w:after="20"/>
        <w:jc w:val="center"/>
      </w:pPr>
      <w:r>
        <w:rPr>
          <w:b/>
          <w:sz w:val="21"/>
        </w:rPr>
        <w:t>Pranit Gopale, Tejas Shelke</w:t>
      </w:r>
      <w:r w:rsidR="00931219">
        <w:rPr>
          <w:b/>
          <w:sz w:val="21"/>
        </w:rPr>
        <w:t>, Akash Giri</w:t>
      </w:r>
    </w:p>
    <w:p w14:paraId="23E56D80" w14:textId="77777777" w:rsidR="00E6027D" w:rsidRDefault="00000000">
      <w:pPr>
        <w:spacing w:after="0"/>
        <w:jc w:val="center"/>
      </w:pPr>
      <w:r>
        <w:rPr>
          <w:sz w:val="19"/>
        </w:rPr>
        <w:t>School of Information Technology, Shree Chanakya Education</w:t>
      </w:r>
      <w:r>
        <w:rPr>
          <w:sz w:val="19"/>
        </w:rPr>
        <w:br/>
        <w:t>Society’s Indira University, Pune, Maharashtra, India</w:t>
      </w:r>
    </w:p>
    <w:p w14:paraId="33A68C49" w14:textId="77777777" w:rsidR="00E6027D" w:rsidRDefault="00000000">
      <w:pPr>
        <w:spacing w:after="100"/>
        <w:jc w:val="center"/>
      </w:pPr>
      <w:r>
        <w:rPr>
          <w:sz w:val="19"/>
        </w:rPr>
        <w:t>pranit.gopale@indirauniversity.edu.in  |  tejas.shelke@indirauniversity.edu.in</w:t>
      </w:r>
    </w:p>
    <w:p w14:paraId="17609C9F" w14:textId="77777777" w:rsidR="00E6027D" w:rsidRDefault="00000000">
      <w:pPr>
        <w:sectPr w:rsidR="00E6027D">
          <w:headerReference w:type="default" r:id="rId8"/>
          <w:footerReference w:type="default" r:id="rId9"/>
          <w:pgSz w:w="12240" w:h="15840"/>
          <w:pgMar w:top="691" w:right="749" w:bottom="749" w:left="749" w:header="259" w:footer="288" w:gutter="0"/>
          <w:cols w:space="720"/>
          <w:docGrid w:linePitch="360"/>
        </w:sectPr>
      </w:pPr>
      <w:r>
        <w:rPr>
          <w:i/>
          <w:sz w:val="19"/>
        </w:rPr>
        <w:t>Under the Guidance of Mr. Nitin Joshi and Dr. Manisha Patil</w:t>
      </w:r>
    </w:p>
    <w:p w14:paraId="706539E7" w14:textId="77777777" w:rsidR="00E6027D" w:rsidRDefault="00000000">
      <w:pPr>
        <w:jc w:val="both"/>
      </w:pPr>
      <w:r>
        <w:rPr>
          <w:b/>
        </w:rPr>
        <w:t>Abstract—</w:t>
      </w:r>
      <w:r>
        <w:t>Agricultural commodity prices vary across markets and time because of seasonality, arrivals, demand, geography, variety, and local market conditions. Farmers who depend only on a nearby mandi may not know whether the same commodity is receiving a better price in another accessible market. This paper proposes an intelligent agricultural market price forecasting and recommendation framework using historical Indian mandi data. The framework preprocesses market records, constructs temporal and historical-price features, compares baseline, regression, ensemble, and selected time-series models, and predicts modal prices for candidate markets. Linear Regression, Random Forest Regressor, Gradient Boosting/XGBoost, and ARIMA are considered, while LSTM/GRU can be evaluated where sufficiently continuous sequences exist. The predicted prices are compared across markets and, when reliable transport-cost information is available, converted into an estimated net return. Chronological validation is emphasized to reduce temporal leakage. Forecasting is evaluated using MAE, RMSE, MAPE/sMAPE, and R², while the recommendation stage is evaluated by historical back-testing and decision regret. The principal contribution is a decision-support pipeline connecting price forecasting with transparent cross-market comparison and market recommendation.</w:t>
      </w:r>
    </w:p>
    <w:p w14:paraId="766B5152" w14:textId="77777777" w:rsidR="00E6027D" w:rsidRDefault="00000000">
      <w:pPr>
        <w:jc w:val="both"/>
      </w:pPr>
      <w:r>
        <w:rPr>
          <w:b/>
          <w:sz w:val="19"/>
        </w:rPr>
        <w:t>Keywords—</w:t>
      </w:r>
      <w:r>
        <w:rPr>
          <w:sz w:val="19"/>
        </w:rPr>
        <w:t>Agricultural Price Forecasting, Machine Learning, AGMARKNET, Random Forest, XGBoost, Time Series, Market Recommendation, Decision Support.</w:t>
      </w:r>
    </w:p>
    <w:p w14:paraId="0E1BA11E" w14:textId="77777777" w:rsidR="00E6027D" w:rsidRDefault="00000000">
      <w:pPr>
        <w:keepNext/>
        <w:spacing w:before="60"/>
      </w:pPr>
      <w:r>
        <w:rPr>
          <w:b/>
          <w:color w:val="2F6FAE"/>
          <w:sz w:val="22"/>
        </w:rPr>
        <w:t>1. Introduction</w:t>
      </w:r>
    </w:p>
    <w:p w14:paraId="5500A5C8" w14:textId="77777777" w:rsidR="00E6027D" w:rsidRDefault="00000000">
      <w:pPr>
        <w:ind w:firstLine="173"/>
        <w:jc w:val="both"/>
      </w:pPr>
      <w:r>
        <w:t>Agricultural markets exhibit substantial spatial and temporal price variation. The same crop may receive different wholesale prices across mandis because of differences in arrivals, local demand, seasonality, variety, location, and market conditions. For farmers, particularly small producers with limited access to timely market intelligence, this variation makes the selling decision difficult: the nearest market may be convenient but may not provide the best economic return.</w:t>
      </w:r>
    </w:p>
    <w:p w14:paraId="14E4D81A" w14:textId="77777777" w:rsidR="00E6027D" w:rsidRDefault="00000000">
      <w:pPr>
        <w:ind w:firstLine="173"/>
        <w:jc w:val="both"/>
      </w:pPr>
      <w:r>
        <w:t>India's AGMARKNET ecosystem provides historical wholesale-market information that can be analyzed using statistical and machine-learning methods. Typical records contain state, district, market, commodity, variety, arrival date, minimum price, maximum price, and modal price. Such data make it possible to study market-specific trends and construct predictive models for future price estimation.</w:t>
      </w:r>
    </w:p>
    <w:p w14:paraId="2A432D3F" w14:textId="77777777" w:rsidR="00E6027D" w:rsidRDefault="00000000">
      <w:pPr>
        <w:ind w:firstLine="173"/>
        <w:jc w:val="both"/>
      </w:pPr>
      <w:r>
        <w:t>Price prediction alone, however, does not complete the decision process. A market with a higher expected price may be less attractive after transport and other market-related costs are considered. The proposed work therefore connects forecasting with cross-market comparison and, when defensible cost data are available, net-return-based recommendation. The system is intended as decision support rather than a guarantee of future prices.</w:t>
      </w:r>
    </w:p>
    <w:p w14:paraId="6E2B8E85" w14:textId="77777777" w:rsidR="00E6027D" w:rsidRDefault="00000000">
      <w:pPr>
        <w:keepNext/>
        <w:spacing w:before="60"/>
      </w:pPr>
      <w:r>
        <w:rPr>
          <w:b/>
          <w:color w:val="2F6FAE"/>
          <w:sz w:val="22"/>
        </w:rPr>
        <w:t>2. Literature Review</w:t>
      </w:r>
    </w:p>
    <w:p w14:paraId="18076CD8" w14:textId="77777777" w:rsidR="00E6027D" w:rsidRDefault="00000000">
      <w:pPr>
        <w:ind w:firstLine="173"/>
        <w:jc w:val="both"/>
      </w:pPr>
      <w:r>
        <w:t>Agricultural price forecasting has been studied using statistical, machine-learning, and deep-learning approaches. Ma et al. developed an interpretable produce-price forecasting system for small and marginal farmers using AGMARKNET data from more than one thousand markets. Their work addressed sparse observations and emphasized farmer-oriented interpretation [1].</w:t>
      </w:r>
    </w:p>
    <w:p w14:paraId="6FE75CED" w14:textId="77777777" w:rsidR="00E6027D" w:rsidRDefault="00000000">
      <w:pPr>
        <w:ind w:firstLine="173"/>
        <w:jc w:val="both"/>
      </w:pPr>
      <w:r>
        <w:t>Paul et al. studied daily wholesale brinjal prices across markets in Odisha and compared ARIMA with Generalized Regression Neural Network, Support Vector Regression, Random Forest, and Gradient Boosting. Their evaluation used RMSE, MAE, MAPE, and statistical model comparison, demonstrating the importance of evaluating several approaches on the same data [2].</w:t>
      </w:r>
    </w:p>
    <w:p w14:paraId="19E4F4B9" w14:textId="77777777" w:rsidR="00E6027D" w:rsidRDefault="00000000">
      <w:pPr>
        <w:ind w:firstLine="173"/>
        <w:jc w:val="both"/>
      </w:pPr>
      <w:r>
        <w:t>Nayak et al. investigated Tomato, Onion, and Potato price forecasting using statistical, machine-learning, and advanced deep-learning approaches together with exogenous variables [3]. Manogna et al. evaluated daily AGMARKNET prices for 23 commodities across 165 markets using stochastic, machine-learning, and deep-learning methods [4]. These studies establish that forecasting itself is a mature problem and motivate a stronger focus on practical decision support and leakage-safe validation.</w:t>
      </w:r>
    </w:p>
    <w:p w14:paraId="7F8D2429" w14:textId="77777777" w:rsidR="00E6027D" w:rsidRDefault="00000000">
      <w:pPr>
        <w:keepNext/>
        <w:spacing w:before="60"/>
      </w:pPr>
      <w:r>
        <w:rPr>
          <w:b/>
          <w:color w:val="2F6FAE"/>
          <w:sz w:val="22"/>
        </w:rPr>
        <w:t>3. Research Gap</w:t>
      </w:r>
    </w:p>
    <w:p w14:paraId="64B1399F" w14:textId="77777777" w:rsidR="00E6027D" w:rsidRDefault="00000000">
      <w:pPr>
        <w:ind w:firstLine="173"/>
        <w:jc w:val="both"/>
      </w:pPr>
      <w:r>
        <w:t>Existing studies demonstrate that agricultural prices can be forecast from historical market data, but many emphasize predictive accuracy as the final output. A farmer must make a broader decision after receiving a forecast: compare feasible markets, consider expected price differences, and determine whether the additional return justifies the cost of reaching another market. The research gap addressed here is a unified pipeline connecting leakage-aware forecasting, multi-market comparison, optional transport/market-cost adjustment, and transparent recommendation.</w:t>
      </w:r>
    </w:p>
    <w:p w14:paraId="7DFC64FF" w14:textId="77777777" w:rsidR="00E6027D" w:rsidRDefault="00000000">
      <w:pPr>
        <w:keepNext/>
        <w:spacing w:before="60"/>
      </w:pPr>
      <w:r>
        <w:rPr>
          <w:b/>
          <w:color w:val="2F6FAE"/>
          <w:sz w:val="22"/>
        </w:rPr>
        <w:t>4. Objectives</w:t>
      </w:r>
    </w:p>
    <w:p w14:paraId="56BB7B7A" w14:textId="77777777" w:rsidR="00E6027D" w:rsidRDefault="00000000">
      <w:pPr>
        <w:spacing w:after="20"/>
        <w:ind w:left="173" w:hanging="144"/>
      </w:pPr>
      <w:r>
        <w:rPr>
          <w:sz w:val="19"/>
        </w:rPr>
        <w:t>• Develop machine-learning models for forecasting selected agricultural commodity prices from historical mandi data.</w:t>
      </w:r>
    </w:p>
    <w:p w14:paraId="717CE670" w14:textId="77777777" w:rsidR="00E6027D" w:rsidRDefault="00000000">
      <w:pPr>
        <w:spacing w:after="20"/>
        <w:ind w:left="173" w:hanging="144"/>
      </w:pPr>
      <w:r>
        <w:rPr>
          <w:sz w:val="19"/>
        </w:rPr>
        <w:t>• Compare the price of the same commodity across different markets, districts, or states.</w:t>
      </w:r>
    </w:p>
    <w:p w14:paraId="5FA13ED6" w14:textId="77777777" w:rsidR="00E6027D" w:rsidRDefault="00000000">
      <w:pPr>
        <w:spacing w:after="20"/>
        <w:ind w:left="173" w:hanging="144"/>
      </w:pPr>
      <w:r>
        <w:rPr>
          <w:sz w:val="19"/>
        </w:rPr>
        <w:t>• Compare baseline, regression, ensemble, and selected time-series forecasting approaches.</w:t>
      </w:r>
    </w:p>
    <w:p w14:paraId="47F4842A" w14:textId="77777777" w:rsidR="00E6027D" w:rsidRDefault="00000000">
      <w:pPr>
        <w:spacing w:after="20"/>
        <w:ind w:left="173" w:hanging="144"/>
      </w:pPr>
      <w:r>
        <w:rPr>
          <w:sz w:val="19"/>
        </w:rPr>
        <w:t>• Recommend potentially better selling markets using predicted prices and, where reliable data exist, estimated costs.</w:t>
      </w:r>
    </w:p>
    <w:p w14:paraId="0A7F12BB" w14:textId="77777777" w:rsidR="00E6027D" w:rsidRDefault="00000000">
      <w:pPr>
        <w:spacing w:after="20"/>
        <w:ind w:left="173" w:hanging="144"/>
      </w:pPr>
      <w:r>
        <w:rPr>
          <w:sz w:val="19"/>
        </w:rPr>
        <w:t>• Analyze seasonal, regional, commodity-wise, and market-wise price patterns.</w:t>
      </w:r>
    </w:p>
    <w:p w14:paraId="47FE50BF" w14:textId="77777777" w:rsidR="00E6027D" w:rsidRDefault="00000000">
      <w:pPr>
        <w:spacing w:after="20"/>
        <w:ind w:left="173" w:hanging="144"/>
      </w:pPr>
      <w:r>
        <w:rPr>
          <w:sz w:val="19"/>
        </w:rPr>
        <w:t>• Evaluate forecasting performance using appropriate regression and time-series metrics.</w:t>
      </w:r>
    </w:p>
    <w:p w14:paraId="026C8DCD" w14:textId="77777777" w:rsidR="00E6027D" w:rsidRDefault="00000000">
      <w:pPr>
        <w:spacing w:after="20"/>
        <w:ind w:left="173" w:hanging="144"/>
      </w:pPr>
      <w:r>
        <w:rPr>
          <w:sz w:val="19"/>
        </w:rPr>
        <w:t>• Present trends, forecasts, market comparisons, and recommendations through understandable visualizations.</w:t>
      </w:r>
    </w:p>
    <w:p w14:paraId="19889FDB" w14:textId="77777777" w:rsidR="00E6027D" w:rsidRDefault="00000000">
      <w:pPr>
        <w:keepNext/>
        <w:spacing w:before="60"/>
      </w:pPr>
      <w:r>
        <w:rPr>
          <w:b/>
          <w:color w:val="2F6FAE"/>
          <w:sz w:val="22"/>
        </w:rPr>
        <w:lastRenderedPageBreak/>
        <w:t>5. Proposed Methodology</w:t>
      </w:r>
    </w:p>
    <w:p w14:paraId="296958BF" w14:textId="77777777" w:rsidR="00E6027D" w:rsidRDefault="00000000">
      <w:pPr>
        <w:ind w:firstLine="173"/>
        <w:jc w:val="both"/>
      </w:pPr>
      <w:r>
        <w:t>The proposed framework consists of six connected stages: data collection, preprocessing, exploratory analysis and feature engineering, forecasting-model development, cross-market price comparison, and market recommendation. For each selected commodity and forecast date, the system produces predicted market prices and a ranked recommendation.</w:t>
      </w:r>
    </w:p>
    <w:p w14:paraId="497E6D1B" w14:textId="77777777" w:rsidR="00E6027D" w:rsidRDefault="00000000">
      <w:pPr>
        <w:keepNext/>
        <w:spacing w:before="60"/>
      </w:pPr>
      <w:r>
        <w:rPr>
          <w:b/>
          <w:color w:val="2F6FAE"/>
        </w:rPr>
        <w:t>5.1 Data Collection and Preparation</w:t>
      </w:r>
    </w:p>
    <w:p w14:paraId="122C76DC" w14:textId="77777777" w:rsidR="00E6027D" w:rsidRDefault="00000000">
      <w:pPr>
        <w:ind w:firstLine="173"/>
        <w:jc w:val="both"/>
      </w:pPr>
      <w:r>
        <w:t>A publicly available Kaggle dataset derived from Indian mandi/AGMARKNET wholesale-price records is used. Data-quality checks include duplicate records, missing values, inconsistent commodity and market names, date-format problems, and abnormal price values. Modal Price is treated as the principal prediction target, subject to final dataset validation.</w:t>
      </w:r>
    </w:p>
    <w:p w14:paraId="4ED8856D" w14:textId="77777777" w:rsidR="00E6027D" w:rsidRDefault="00000000">
      <w:pPr>
        <w:keepNext/>
        <w:spacing w:before="60"/>
      </w:pPr>
      <w:r>
        <w:rPr>
          <w:b/>
          <w:color w:val="2F6FAE"/>
        </w:rPr>
        <w:t>5.2 Exploratory Data Analysis</w:t>
      </w:r>
    </w:p>
    <w:p w14:paraId="63838694" w14:textId="77777777" w:rsidR="00E6027D" w:rsidRDefault="00000000">
      <w:pPr>
        <w:ind w:firstLine="173"/>
        <w:jc w:val="both"/>
      </w:pPr>
      <w:r>
        <w:t>The cleaned data are analyzed by commodity, state, district, market, month, and season. Price distributions, temporal trends, market coverage, missingness, and volatility are examined before modelling. This stage identifies commodities and markets with sufficient continuity for reliable experiments.</w:t>
      </w:r>
    </w:p>
    <w:p w14:paraId="47CECFC1" w14:textId="77777777" w:rsidR="00E6027D" w:rsidRDefault="00000000">
      <w:pPr>
        <w:keepNext/>
        <w:spacing w:before="60"/>
      </w:pPr>
      <w:r>
        <w:rPr>
          <w:b/>
          <w:color w:val="2F6FAE"/>
        </w:rPr>
        <w:t>5.3 Feature Engineering</w:t>
      </w:r>
    </w:p>
    <w:p w14:paraId="6404FFD8" w14:textId="77777777" w:rsidR="00E6027D" w:rsidRDefault="00000000">
      <w:pPr>
        <w:ind w:firstLine="173"/>
        <w:jc w:val="both"/>
      </w:pPr>
      <w:r>
        <w:t>Candidate features include year, month, quarter, season, commodity, variety, market, district, and state. Historical features can include lagged modal prices and rolling averages. For a forecast at time t, lag and rolling features must use only observations available before t so that future information cannot leak into the model.</w:t>
      </w:r>
    </w:p>
    <w:p w14:paraId="2ED7EE6A" w14:textId="77777777" w:rsidR="00E6027D" w:rsidRDefault="00000000">
      <w:pPr>
        <w:keepNext/>
        <w:spacing w:before="60"/>
      </w:pPr>
      <w:r>
        <w:rPr>
          <w:b/>
          <w:color w:val="2F6FAE"/>
        </w:rPr>
        <w:t>5.4 Model Development</w:t>
      </w:r>
    </w:p>
    <w:p w14:paraId="2CE23665" w14:textId="77777777" w:rsidR="00E6027D" w:rsidRDefault="00000000">
      <w:pPr>
        <w:ind w:firstLine="173"/>
        <w:jc w:val="both"/>
      </w:pPr>
      <w:r>
        <w:t>A naive persistence forecast is used as a minimum benchmark. Candidate models include Linear Regression, Random Forest Regressor, Gradient Boosting/XGBoost, and selected time-series methods such as ARIMA. LSTM or GRU may be evaluated only where sufficiently long and continuous sequences are available. Hyperparameters are selected using validation data rather than the final test set.</w:t>
      </w:r>
    </w:p>
    <w:p w14:paraId="7D4D8B04" w14:textId="77777777" w:rsidR="00E6027D" w:rsidRDefault="00000000">
      <w:pPr>
        <w:keepNext/>
        <w:spacing w:before="60"/>
      </w:pPr>
      <w:r>
        <w:rPr>
          <w:b/>
          <w:color w:val="2F6FAE"/>
        </w:rPr>
        <w:t>5.5 Chronological Validation</w:t>
      </w:r>
    </w:p>
    <w:p w14:paraId="22DB1FDA" w14:textId="77777777" w:rsidR="00E6027D" w:rsidRDefault="00000000">
      <w:pPr>
        <w:ind w:firstLine="173"/>
        <w:jc w:val="both"/>
      </w:pPr>
      <w:r>
        <w:t>Agricultural prices are time-dependent; therefore chronological splitting is preferred over a random split. Earlier observations are used for training, a subsequent period for validation, and the latest period as an untouched test set. This design more closely represents real forecasting, where future prices must be predicted using past information only.</w:t>
      </w:r>
    </w:p>
    <w:p w14:paraId="4B61AA5D" w14:textId="77777777" w:rsidR="00E6027D" w:rsidRDefault="00000000">
      <w:pPr>
        <w:keepNext/>
        <w:spacing w:before="60"/>
      </w:pPr>
      <w:r>
        <w:rPr>
          <w:b/>
          <w:color w:val="2F6FAE"/>
        </w:rPr>
        <w:t>5.6 Market Recommendation</w:t>
      </w:r>
    </w:p>
    <w:p w14:paraId="7CD18627" w14:textId="77777777" w:rsidR="00E6027D" w:rsidRDefault="00000000">
      <w:pPr>
        <w:ind w:firstLine="173"/>
        <w:jc w:val="both"/>
      </w:pPr>
      <w:r>
        <w:t>For commodity c, market m, forecast date t, and selling quantity q, predicted gross selling value is GrossValue(c,m,t) = q × P-hat(c,m,t), where P-hat is the predicted modal price per quintal. When reliable cost data are available, NetReturn(c,m,t) = q × P-hat(c,m,t) - C(m), where C(m) represents estimated transport and relevant market costs. The feasible market with the largest estimated net return is ranked first. If cost data are unavailable, the output is explicitly described as predicted-price ranking rather than profit recommendation.</w:t>
      </w:r>
    </w:p>
    <w:p w14:paraId="0D14743E" w14:textId="77777777" w:rsidR="00E6027D" w:rsidRDefault="00000000">
      <w:pPr>
        <w:jc w:val="center"/>
      </w:pPr>
      <w:r>
        <w:rPr>
          <w:noProof/>
        </w:rPr>
        <w:drawing>
          <wp:inline distT="0" distB="0" distL="0" distR="0" wp14:anchorId="7CB2C46B" wp14:editId="71262FCF">
            <wp:extent cx="2788920" cy="34861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gri_framework.png"/>
                    <pic:cNvPicPr/>
                  </pic:nvPicPr>
                  <pic:blipFill>
                    <a:blip r:embed="rId10"/>
                    <a:stretch>
                      <a:fillRect/>
                    </a:stretch>
                  </pic:blipFill>
                  <pic:spPr>
                    <a:xfrm>
                      <a:off x="0" y="0"/>
                      <a:ext cx="2788920" cy="348615"/>
                    </a:xfrm>
                    <a:prstGeom prst="rect">
                      <a:avLst/>
                    </a:prstGeom>
                  </pic:spPr>
                </pic:pic>
              </a:graphicData>
            </a:graphic>
          </wp:inline>
        </w:drawing>
      </w:r>
    </w:p>
    <w:p w14:paraId="64BC1B8E" w14:textId="77777777" w:rsidR="00E6027D" w:rsidRDefault="00000000">
      <w:pPr>
        <w:jc w:val="center"/>
      </w:pPr>
      <w:r>
        <w:rPr>
          <w:i/>
          <w:sz w:val="16"/>
        </w:rPr>
        <w:t>Fig. 1. Proposed agricultural price forecasting and market recommendation framework.</w:t>
      </w:r>
    </w:p>
    <w:p w14:paraId="1F79F6CC" w14:textId="77777777" w:rsidR="00E6027D" w:rsidRDefault="00000000">
      <w:pPr>
        <w:keepNext/>
        <w:spacing w:before="60"/>
      </w:pPr>
      <w:r>
        <w:rPr>
          <w:b/>
          <w:color w:val="2F6FAE"/>
          <w:sz w:val="22"/>
        </w:rPr>
        <w:t>6. Dataset Description</w:t>
      </w:r>
    </w:p>
    <w:p w14:paraId="24FDAC47" w14:textId="77777777" w:rsidR="00E6027D" w:rsidRDefault="00000000">
      <w:pPr>
        <w:ind w:firstLine="173"/>
        <w:jc w:val="both"/>
      </w:pPr>
      <w:r>
        <w:t>The proposed dataset contains Indian agricultural market observations in which each record represents a commodity price for a particular market and date. Expected attributes include State, District, Market, Commodity, Variety, Arrival Date, Minimum Price, Maximum Price, and Modal Price. Arrival quantity may also be used if present. The final experimental paper must report the exact dataset version, access date, raw and cleaned record counts, date range, selected commodities, selected markets, and exclusion criteria.</w:t>
      </w:r>
    </w:p>
    <w:p w14:paraId="32C6F42A" w14:textId="77777777" w:rsidR="00E6027D" w:rsidRDefault="00000000">
      <w:pPr>
        <w:keepNext/>
        <w:spacing w:before="60"/>
      </w:pPr>
      <w:r>
        <w:rPr>
          <w:b/>
          <w:color w:val="2F6FAE"/>
        </w:rPr>
        <w:t>6.1 Framework Components</w:t>
      </w:r>
    </w:p>
    <w:tbl>
      <w:tblPr>
        <w:tblStyle w:val="TableGrid"/>
        <w:tblW w:w="0" w:type="auto"/>
        <w:jc w:val="center"/>
        <w:tblLayout w:type="fixed"/>
        <w:tblLook w:val="04A0" w:firstRow="1" w:lastRow="0" w:firstColumn="1" w:lastColumn="0" w:noHBand="0" w:noVBand="1"/>
      </w:tblPr>
      <w:tblGrid>
        <w:gridCol w:w="403"/>
        <w:gridCol w:w="1757"/>
        <w:gridCol w:w="2333"/>
      </w:tblGrid>
      <w:tr w:rsidR="00E6027D" w14:paraId="7498E004" w14:textId="77777777">
        <w:trPr>
          <w:jc w:val="center"/>
        </w:trPr>
        <w:tc>
          <w:tcPr>
            <w:tcW w:w="403" w:type="dxa"/>
            <w:tcMar>
              <w:top w:w="20" w:type="dxa"/>
              <w:left w:w="20" w:type="dxa"/>
              <w:bottom w:w="20" w:type="dxa"/>
              <w:right w:w="20" w:type="dxa"/>
            </w:tcMar>
            <w:vAlign w:val="center"/>
          </w:tcPr>
          <w:p w14:paraId="1591B6F8" w14:textId="77777777" w:rsidR="00E6027D" w:rsidRDefault="00000000">
            <w:pPr>
              <w:spacing w:after="0"/>
            </w:pPr>
            <w:r>
              <w:rPr>
                <w:sz w:val="13"/>
              </w:rPr>
              <w:t>Stage</w:t>
            </w:r>
          </w:p>
        </w:tc>
        <w:tc>
          <w:tcPr>
            <w:tcW w:w="1757" w:type="dxa"/>
            <w:tcMar>
              <w:top w:w="20" w:type="dxa"/>
              <w:left w:w="20" w:type="dxa"/>
              <w:bottom w:w="20" w:type="dxa"/>
              <w:right w:w="20" w:type="dxa"/>
            </w:tcMar>
            <w:vAlign w:val="center"/>
          </w:tcPr>
          <w:p w14:paraId="1224F50E" w14:textId="77777777" w:rsidR="00E6027D" w:rsidRDefault="00000000">
            <w:pPr>
              <w:spacing w:after="0"/>
            </w:pPr>
            <w:r>
              <w:rPr>
                <w:sz w:val="13"/>
              </w:rPr>
              <w:t>Technique</w:t>
            </w:r>
          </w:p>
        </w:tc>
        <w:tc>
          <w:tcPr>
            <w:tcW w:w="2333" w:type="dxa"/>
            <w:tcMar>
              <w:top w:w="20" w:type="dxa"/>
              <w:left w:w="20" w:type="dxa"/>
              <w:bottom w:w="20" w:type="dxa"/>
              <w:right w:w="20" w:type="dxa"/>
            </w:tcMar>
            <w:vAlign w:val="center"/>
          </w:tcPr>
          <w:p w14:paraId="2ED9CCF7" w14:textId="77777777" w:rsidR="00E6027D" w:rsidRDefault="00000000">
            <w:pPr>
              <w:spacing w:after="0"/>
            </w:pPr>
            <w:r>
              <w:rPr>
                <w:sz w:val="13"/>
              </w:rPr>
              <w:t>Output</w:t>
            </w:r>
          </w:p>
        </w:tc>
      </w:tr>
      <w:tr w:rsidR="00E6027D" w14:paraId="22E955F5" w14:textId="77777777">
        <w:trPr>
          <w:jc w:val="center"/>
        </w:trPr>
        <w:tc>
          <w:tcPr>
            <w:tcW w:w="403" w:type="dxa"/>
            <w:tcMar>
              <w:top w:w="20" w:type="dxa"/>
              <w:left w:w="20" w:type="dxa"/>
              <w:bottom w:w="20" w:type="dxa"/>
              <w:right w:w="20" w:type="dxa"/>
            </w:tcMar>
            <w:vAlign w:val="center"/>
          </w:tcPr>
          <w:p w14:paraId="27D6F3D0" w14:textId="77777777" w:rsidR="00E6027D" w:rsidRDefault="00000000">
            <w:pPr>
              <w:spacing w:after="0"/>
            </w:pPr>
            <w:r>
              <w:rPr>
                <w:sz w:val="13"/>
              </w:rPr>
              <w:t>1</w:t>
            </w:r>
          </w:p>
        </w:tc>
        <w:tc>
          <w:tcPr>
            <w:tcW w:w="1757" w:type="dxa"/>
            <w:tcMar>
              <w:top w:w="20" w:type="dxa"/>
              <w:left w:w="20" w:type="dxa"/>
              <w:bottom w:w="20" w:type="dxa"/>
              <w:right w:w="20" w:type="dxa"/>
            </w:tcMar>
            <w:vAlign w:val="center"/>
          </w:tcPr>
          <w:p w14:paraId="7C543DDD" w14:textId="77777777" w:rsidR="00E6027D" w:rsidRDefault="00000000">
            <w:pPr>
              <w:spacing w:after="0"/>
            </w:pPr>
            <w:r>
              <w:rPr>
                <w:sz w:val="13"/>
              </w:rPr>
              <w:t>Data preprocessing</w:t>
            </w:r>
          </w:p>
        </w:tc>
        <w:tc>
          <w:tcPr>
            <w:tcW w:w="2333" w:type="dxa"/>
            <w:tcMar>
              <w:top w:w="20" w:type="dxa"/>
              <w:left w:w="20" w:type="dxa"/>
              <w:bottom w:w="20" w:type="dxa"/>
              <w:right w:w="20" w:type="dxa"/>
            </w:tcMar>
            <w:vAlign w:val="center"/>
          </w:tcPr>
          <w:p w14:paraId="46D6362E" w14:textId="77777777" w:rsidR="00E6027D" w:rsidRDefault="00000000">
            <w:pPr>
              <w:spacing w:after="0"/>
            </w:pPr>
            <w:r>
              <w:rPr>
                <w:sz w:val="13"/>
              </w:rPr>
              <w:t>Clean data</w:t>
            </w:r>
          </w:p>
        </w:tc>
      </w:tr>
      <w:tr w:rsidR="00E6027D" w14:paraId="4DEE7049" w14:textId="77777777">
        <w:trPr>
          <w:jc w:val="center"/>
        </w:trPr>
        <w:tc>
          <w:tcPr>
            <w:tcW w:w="403" w:type="dxa"/>
            <w:tcMar>
              <w:top w:w="20" w:type="dxa"/>
              <w:left w:w="20" w:type="dxa"/>
              <w:bottom w:w="20" w:type="dxa"/>
              <w:right w:w="20" w:type="dxa"/>
            </w:tcMar>
            <w:vAlign w:val="center"/>
          </w:tcPr>
          <w:p w14:paraId="6C936A46" w14:textId="77777777" w:rsidR="00E6027D" w:rsidRDefault="00000000">
            <w:pPr>
              <w:spacing w:after="0"/>
            </w:pPr>
            <w:r>
              <w:rPr>
                <w:sz w:val="13"/>
              </w:rPr>
              <w:t>2</w:t>
            </w:r>
          </w:p>
        </w:tc>
        <w:tc>
          <w:tcPr>
            <w:tcW w:w="1757" w:type="dxa"/>
            <w:tcMar>
              <w:top w:w="20" w:type="dxa"/>
              <w:left w:w="20" w:type="dxa"/>
              <w:bottom w:w="20" w:type="dxa"/>
              <w:right w:w="20" w:type="dxa"/>
            </w:tcMar>
            <w:vAlign w:val="center"/>
          </w:tcPr>
          <w:p w14:paraId="6E60EA33" w14:textId="77777777" w:rsidR="00E6027D" w:rsidRDefault="00000000">
            <w:pPr>
              <w:spacing w:after="0"/>
            </w:pPr>
            <w:r>
              <w:rPr>
                <w:sz w:val="13"/>
              </w:rPr>
              <w:t>Feature engineering</w:t>
            </w:r>
          </w:p>
        </w:tc>
        <w:tc>
          <w:tcPr>
            <w:tcW w:w="2333" w:type="dxa"/>
            <w:tcMar>
              <w:top w:w="20" w:type="dxa"/>
              <w:left w:w="20" w:type="dxa"/>
              <w:bottom w:w="20" w:type="dxa"/>
              <w:right w:w="20" w:type="dxa"/>
            </w:tcMar>
            <w:vAlign w:val="center"/>
          </w:tcPr>
          <w:p w14:paraId="1705A097" w14:textId="77777777" w:rsidR="00E6027D" w:rsidRDefault="00000000">
            <w:pPr>
              <w:spacing w:after="0"/>
            </w:pPr>
            <w:r>
              <w:rPr>
                <w:sz w:val="13"/>
              </w:rPr>
              <w:t>Temporal/lag features</w:t>
            </w:r>
          </w:p>
        </w:tc>
      </w:tr>
      <w:tr w:rsidR="00E6027D" w14:paraId="78020D2A" w14:textId="77777777">
        <w:trPr>
          <w:jc w:val="center"/>
        </w:trPr>
        <w:tc>
          <w:tcPr>
            <w:tcW w:w="403" w:type="dxa"/>
            <w:tcMar>
              <w:top w:w="20" w:type="dxa"/>
              <w:left w:w="20" w:type="dxa"/>
              <w:bottom w:w="20" w:type="dxa"/>
              <w:right w:w="20" w:type="dxa"/>
            </w:tcMar>
            <w:vAlign w:val="center"/>
          </w:tcPr>
          <w:p w14:paraId="4F567989" w14:textId="77777777" w:rsidR="00E6027D" w:rsidRDefault="00000000">
            <w:pPr>
              <w:spacing w:after="0"/>
            </w:pPr>
            <w:r>
              <w:rPr>
                <w:sz w:val="13"/>
              </w:rPr>
              <w:t>3</w:t>
            </w:r>
          </w:p>
        </w:tc>
        <w:tc>
          <w:tcPr>
            <w:tcW w:w="1757" w:type="dxa"/>
            <w:tcMar>
              <w:top w:w="20" w:type="dxa"/>
              <w:left w:w="20" w:type="dxa"/>
              <w:bottom w:w="20" w:type="dxa"/>
              <w:right w:w="20" w:type="dxa"/>
            </w:tcMar>
            <w:vAlign w:val="center"/>
          </w:tcPr>
          <w:p w14:paraId="43814E84" w14:textId="77777777" w:rsidR="00E6027D" w:rsidRDefault="00000000">
            <w:pPr>
              <w:spacing w:after="0"/>
            </w:pPr>
            <w:r>
              <w:rPr>
                <w:sz w:val="13"/>
              </w:rPr>
              <w:t>ML / time-series models</w:t>
            </w:r>
          </w:p>
        </w:tc>
        <w:tc>
          <w:tcPr>
            <w:tcW w:w="2333" w:type="dxa"/>
            <w:tcMar>
              <w:top w:w="20" w:type="dxa"/>
              <w:left w:w="20" w:type="dxa"/>
              <w:bottom w:w="20" w:type="dxa"/>
              <w:right w:w="20" w:type="dxa"/>
            </w:tcMar>
            <w:vAlign w:val="center"/>
          </w:tcPr>
          <w:p w14:paraId="52ADFE4F" w14:textId="77777777" w:rsidR="00E6027D" w:rsidRDefault="00000000">
            <w:pPr>
              <w:spacing w:after="0"/>
            </w:pPr>
            <w:r>
              <w:rPr>
                <w:sz w:val="13"/>
              </w:rPr>
              <w:t>Predicted prices</w:t>
            </w:r>
          </w:p>
        </w:tc>
      </w:tr>
      <w:tr w:rsidR="00E6027D" w14:paraId="3C1E43CD" w14:textId="77777777">
        <w:trPr>
          <w:jc w:val="center"/>
        </w:trPr>
        <w:tc>
          <w:tcPr>
            <w:tcW w:w="403" w:type="dxa"/>
            <w:tcMar>
              <w:top w:w="20" w:type="dxa"/>
              <w:left w:w="20" w:type="dxa"/>
              <w:bottom w:w="20" w:type="dxa"/>
              <w:right w:w="20" w:type="dxa"/>
            </w:tcMar>
            <w:vAlign w:val="center"/>
          </w:tcPr>
          <w:p w14:paraId="01BFF6C1" w14:textId="77777777" w:rsidR="00E6027D" w:rsidRDefault="00000000">
            <w:pPr>
              <w:spacing w:after="0"/>
            </w:pPr>
            <w:r>
              <w:rPr>
                <w:sz w:val="13"/>
              </w:rPr>
              <w:t>4</w:t>
            </w:r>
          </w:p>
        </w:tc>
        <w:tc>
          <w:tcPr>
            <w:tcW w:w="1757" w:type="dxa"/>
            <w:tcMar>
              <w:top w:w="20" w:type="dxa"/>
              <w:left w:w="20" w:type="dxa"/>
              <w:bottom w:w="20" w:type="dxa"/>
              <w:right w:w="20" w:type="dxa"/>
            </w:tcMar>
            <w:vAlign w:val="center"/>
          </w:tcPr>
          <w:p w14:paraId="3C69EC35" w14:textId="77777777" w:rsidR="00E6027D" w:rsidRDefault="00000000">
            <w:pPr>
              <w:spacing w:after="0"/>
            </w:pPr>
            <w:r>
              <w:rPr>
                <w:sz w:val="13"/>
              </w:rPr>
              <w:t>Market comparison</w:t>
            </w:r>
          </w:p>
        </w:tc>
        <w:tc>
          <w:tcPr>
            <w:tcW w:w="2333" w:type="dxa"/>
            <w:tcMar>
              <w:top w:w="20" w:type="dxa"/>
              <w:left w:w="20" w:type="dxa"/>
              <w:bottom w:w="20" w:type="dxa"/>
              <w:right w:w="20" w:type="dxa"/>
            </w:tcMar>
            <w:vAlign w:val="center"/>
          </w:tcPr>
          <w:p w14:paraId="46977988" w14:textId="77777777" w:rsidR="00E6027D" w:rsidRDefault="00000000">
            <w:pPr>
              <w:spacing w:after="0"/>
            </w:pPr>
            <w:r>
              <w:rPr>
                <w:sz w:val="13"/>
              </w:rPr>
              <w:t>Market ranking</w:t>
            </w:r>
          </w:p>
        </w:tc>
      </w:tr>
      <w:tr w:rsidR="00E6027D" w14:paraId="2BC45E42" w14:textId="77777777">
        <w:trPr>
          <w:jc w:val="center"/>
        </w:trPr>
        <w:tc>
          <w:tcPr>
            <w:tcW w:w="403" w:type="dxa"/>
            <w:tcMar>
              <w:top w:w="20" w:type="dxa"/>
              <w:left w:w="20" w:type="dxa"/>
              <w:bottom w:w="20" w:type="dxa"/>
              <w:right w:w="20" w:type="dxa"/>
            </w:tcMar>
            <w:vAlign w:val="center"/>
          </w:tcPr>
          <w:p w14:paraId="701BF0CD" w14:textId="77777777" w:rsidR="00E6027D" w:rsidRDefault="00000000">
            <w:pPr>
              <w:spacing w:after="0"/>
            </w:pPr>
            <w:r>
              <w:rPr>
                <w:sz w:val="13"/>
              </w:rPr>
              <w:t>5</w:t>
            </w:r>
          </w:p>
        </w:tc>
        <w:tc>
          <w:tcPr>
            <w:tcW w:w="1757" w:type="dxa"/>
            <w:tcMar>
              <w:top w:w="20" w:type="dxa"/>
              <w:left w:w="20" w:type="dxa"/>
              <w:bottom w:w="20" w:type="dxa"/>
              <w:right w:w="20" w:type="dxa"/>
            </w:tcMar>
            <w:vAlign w:val="center"/>
          </w:tcPr>
          <w:p w14:paraId="7AF1E6CC" w14:textId="77777777" w:rsidR="00E6027D" w:rsidRDefault="00000000">
            <w:pPr>
              <w:spacing w:after="0"/>
            </w:pPr>
            <w:r>
              <w:rPr>
                <w:sz w:val="13"/>
              </w:rPr>
              <w:t>Cost adjustment</w:t>
            </w:r>
          </w:p>
        </w:tc>
        <w:tc>
          <w:tcPr>
            <w:tcW w:w="2333" w:type="dxa"/>
            <w:tcMar>
              <w:top w:w="20" w:type="dxa"/>
              <w:left w:w="20" w:type="dxa"/>
              <w:bottom w:w="20" w:type="dxa"/>
              <w:right w:w="20" w:type="dxa"/>
            </w:tcMar>
            <w:vAlign w:val="center"/>
          </w:tcPr>
          <w:p w14:paraId="2D3029E7" w14:textId="77777777" w:rsidR="00E6027D" w:rsidRDefault="00000000">
            <w:pPr>
              <w:spacing w:after="0"/>
            </w:pPr>
            <w:r>
              <w:rPr>
                <w:sz w:val="13"/>
              </w:rPr>
              <w:t>Net return*</w:t>
            </w:r>
          </w:p>
        </w:tc>
      </w:tr>
      <w:tr w:rsidR="00E6027D" w14:paraId="0AC6EA77" w14:textId="77777777">
        <w:trPr>
          <w:jc w:val="center"/>
        </w:trPr>
        <w:tc>
          <w:tcPr>
            <w:tcW w:w="403" w:type="dxa"/>
            <w:tcMar>
              <w:top w:w="20" w:type="dxa"/>
              <w:left w:w="20" w:type="dxa"/>
              <w:bottom w:w="20" w:type="dxa"/>
              <w:right w:w="20" w:type="dxa"/>
            </w:tcMar>
            <w:vAlign w:val="center"/>
          </w:tcPr>
          <w:p w14:paraId="2760CD90" w14:textId="77777777" w:rsidR="00E6027D" w:rsidRDefault="00000000">
            <w:pPr>
              <w:spacing w:after="0"/>
            </w:pPr>
            <w:r>
              <w:rPr>
                <w:sz w:val="13"/>
              </w:rPr>
              <w:t>6</w:t>
            </w:r>
          </w:p>
        </w:tc>
        <w:tc>
          <w:tcPr>
            <w:tcW w:w="1757" w:type="dxa"/>
            <w:tcMar>
              <w:top w:w="20" w:type="dxa"/>
              <w:left w:w="20" w:type="dxa"/>
              <w:bottom w:w="20" w:type="dxa"/>
              <w:right w:w="20" w:type="dxa"/>
            </w:tcMar>
            <w:vAlign w:val="center"/>
          </w:tcPr>
          <w:p w14:paraId="47BAE102" w14:textId="77777777" w:rsidR="00E6027D" w:rsidRDefault="00000000">
            <w:pPr>
              <w:spacing w:after="0"/>
            </w:pPr>
            <w:r>
              <w:rPr>
                <w:sz w:val="13"/>
              </w:rPr>
              <w:t>Recommendation</w:t>
            </w:r>
          </w:p>
        </w:tc>
        <w:tc>
          <w:tcPr>
            <w:tcW w:w="2333" w:type="dxa"/>
            <w:tcMar>
              <w:top w:w="20" w:type="dxa"/>
              <w:left w:w="20" w:type="dxa"/>
              <w:bottom w:w="20" w:type="dxa"/>
              <w:right w:w="20" w:type="dxa"/>
            </w:tcMar>
            <w:vAlign w:val="center"/>
          </w:tcPr>
          <w:p w14:paraId="6756DF71" w14:textId="77777777" w:rsidR="00E6027D" w:rsidRDefault="00000000">
            <w:pPr>
              <w:spacing w:after="0"/>
            </w:pPr>
            <w:r>
              <w:rPr>
                <w:sz w:val="13"/>
              </w:rPr>
              <w:t>Recommended market</w:t>
            </w:r>
          </w:p>
        </w:tc>
      </w:tr>
    </w:tbl>
    <w:p w14:paraId="0C1D86BD" w14:textId="77777777" w:rsidR="00E6027D" w:rsidRDefault="00000000">
      <w:pPr>
        <w:jc w:val="both"/>
      </w:pPr>
      <w:r>
        <w:rPr>
          <w:i/>
          <w:sz w:val="15"/>
        </w:rPr>
        <w:t>*Net-return calculation is used only when defensible cost information is available.</w:t>
      </w:r>
    </w:p>
    <w:p w14:paraId="63C6BA47" w14:textId="77777777" w:rsidR="00E6027D" w:rsidRDefault="00000000">
      <w:pPr>
        <w:keepNext/>
        <w:spacing w:before="60"/>
      </w:pPr>
      <w:r>
        <w:rPr>
          <w:b/>
          <w:color w:val="2F6FAE"/>
          <w:sz w:val="22"/>
        </w:rPr>
        <w:t>7. Model Evaluation</w:t>
      </w:r>
    </w:p>
    <w:p w14:paraId="59E529C8" w14:textId="77777777" w:rsidR="00E6027D" w:rsidRDefault="00000000">
      <w:pPr>
        <w:ind w:firstLine="173"/>
        <w:jc w:val="both"/>
      </w:pPr>
      <w:r>
        <w:t>Forecasting models are evaluated using Mean Absolute Error (MAE), Root Mean Squared Error (RMSE), Mean Absolute Percentage Error (MAPE) or symmetric MAPE where appropriate, and R-squared (R²). Percentage errors are interpreted carefully when actual prices are close to zero. Results should also be reported separately by commodity and market so that strong aggregate performance does not hide weak local performance.</w:t>
      </w:r>
    </w:p>
    <w:p w14:paraId="4780BE63" w14:textId="77777777" w:rsidR="00E6027D" w:rsidRDefault="00000000">
      <w:pPr>
        <w:ind w:firstLine="173"/>
        <w:jc w:val="both"/>
      </w:pPr>
      <w:r>
        <w:t>The recommendation layer is evaluated independently through historical back-testing. Suggested measures include Top-1 market hit rate, realized price or net return of the recommended market, and decision regret. Decision regret is the realized return of the best feasible market observed in hindsight minus the realized return of the recommended market. This determines whether lower forecasting error actually translates into better selling decisions.</w:t>
      </w:r>
    </w:p>
    <w:p w14:paraId="3114C8E9" w14:textId="77777777" w:rsidR="00E6027D" w:rsidRDefault="00000000">
      <w:pPr>
        <w:keepNext/>
        <w:spacing w:before="60"/>
      </w:pPr>
      <w:r>
        <w:rPr>
          <w:b/>
          <w:color w:val="2F6FAE"/>
          <w:sz w:val="22"/>
        </w:rPr>
        <w:t>8. System Architecture</w:t>
      </w:r>
    </w:p>
    <w:p w14:paraId="056C7089" w14:textId="77777777" w:rsidR="00E6027D" w:rsidRDefault="00000000">
      <w:pPr>
        <w:ind w:firstLine="173"/>
        <w:jc w:val="both"/>
      </w:pPr>
      <w:r>
        <w:t>The system architecture follows the sequence: Historical Mandi Data → Data Cleaning → Exploratory Analysis → Feature Engineering → Forecasting Models → Predicted Market Prices → Cost/Distance Adjustment (when available) → Market Ranking → Recommendation Dashboard. The dashboard can present historical trends, predicted price, candidate markets, estimated cost assumptions, and the resulting recommendation.</w:t>
      </w:r>
    </w:p>
    <w:p w14:paraId="2C25DBBD" w14:textId="77777777" w:rsidR="00E6027D" w:rsidRDefault="00000000">
      <w:pPr>
        <w:keepNext/>
        <w:spacing w:before="60"/>
      </w:pPr>
      <w:r>
        <w:rPr>
          <w:b/>
          <w:color w:val="2F6FAE"/>
          <w:sz w:val="22"/>
        </w:rPr>
        <w:t>9. Expected Results</w:t>
      </w:r>
    </w:p>
    <w:p w14:paraId="436B9C54" w14:textId="77777777" w:rsidR="00E6027D" w:rsidRDefault="00000000">
      <w:pPr>
        <w:ind w:firstLine="173"/>
        <w:jc w:val="both"/>
      </w:pPr>
      <w:r>
        <w:t>The study is expected to demonstrate that historical mandi data can be transformed into structured temporal and market features suitable for price forecasting. Ensemble methods such as Random Forest and XGBoost are expected to provide useful nonlinear benchmarks, while classical time-series models can provide an additional comparison for sufficiently continuous commodity-market series. The recommendation layer is expected to demonstrate how predicted prices can be converted into a more practical market decision when selling quantity and defensible cost information are available.</w:t>
      </w:r>
    </w:p>
    <w:p w14:paraId="125924F9" w14:textId="77777777" w:rsidR="00E6027D" w:rsidRDefault="00000000">
      <w:pPr>
        <w:ind w:firstLine="173"/>
        <w:jc w:val="both"/>
      </w:pPr>
      <w:r>
        <w:t>No numerical MAE, RMSE, MAPE, R², accuracy, or profit-improvement values are reported at the proposal stage because completed experimental outputs have not yet been supplied. Such values must be generated from the final dataset and reproducible experiments before publication.</w:t>
      </w:r>
    </w:p>
    <w:p w14:paraId="00EC31DD" w14:textId="77777777" w:rsidR="00E6027D" w:rsidRDefault="00000000">
      <w:pPr>
        <w:keepNext/>
        <w:spacing w:before="60"/>
      </w:pPr>
      <w:r>
        <w:rPr>
          <w:b/>
          <w:color w:val="2F6FAE"/>
          <w:sz w:val="22"/>
        </w:rPr>
        <w:lastRenderedPageBreak/>
        <w:t>10. Discussion</w:t>
      </w:r>
    </w:p>
    <w:p w14:paraId="004190C1" w14:textId="77777777" w:rsidR="00E6027D" w:rsidRDefault="00000000">
      <w:pPr>
        <w:ind w:firstLine="173"/>
        <w:jc w:val="both"/>
      </w:pPr>
      <w:r>
        <w:t>The central contribution of the proposed work is the connection between forecasting and decision support. Forecasting estimates what price may be expected in a market; recommendation addresses what action may be preferable among feasible alternatives. Keeping these stages separate makes it possible to test whether the model with the lowest forecasting error also produces the most useful market recommendations.</w:t>
      </w:r>
    </w:p>
    <w:p w14:paraId="6E5AE8B2" w14:textId="77777777" w:rsidR="00E6027D" w:rsidRDefault="00000000">
      <w:pPr>
        <w:ind w:firstLine="173"/>
        <w:jc w:val="both"/>
      </w:pPr>
      <w:r>
        <w:t>The framework also makes its dependencies explicit. Historical market data support price modelling, but reliable net-return recommendation additionally requires selling quantity, distance or route information, transport assumptions, and any relevant market charges. If these inputs are unavailable, the system should present a gross-price ranking rather than guaranteed profit. This distinction improves scientific validity and practical transparency.</w:t>
      </w:r>
    </w:p>
    <w:p w14:paraId="309DDCED" w14:textId="77777777" w:rsidR="00E6027D" w:rsidRDefault="00000000">
      <w:pPr>
        <w:keepNext/>
        <w:spacing w:before="60"/>
      </w:pPr>
      <w:r>
        <w:rPr>
          <w:b/>
          <w:color w:val="2F6FAE"/>
          <w:sz w:val="22"/>
        </w:rPr>
        <w:t>11. Limitations</w:t>
      </w:r>
    </w:p>
    <w:p w14:paraId="33313F99" w14:textId="77777777" w:rsidR="00E6027D" w:rsidRDefault="00000000">
      <w:pPr>
        <w:spacing w:after="20"/>
        <w:ind w:left="173" w:hanging="144"/>
      </w:pPr>
      <w:r>
        <w:rPr>
          <w:sz w:val="19"/>
        </w:rPr>
        <w:t>• AGMARKNET-derived records may contain missing, sparse, delayed, or inconsistent observations.</w:t>
      </w:r>
    </w:p>
    <w:p w14:paraId="03619FB6" w14:textId="77777777" w:rsidR="00E6027D" w:rsidRDefault="00000000">
      <w:pPr>
        <w:spacing w:after="20"/>
        <w:ind w:left="173" w:hanging="144"/>
      </w:pPr>
      <w:r>
        <w:rPr>
          <w:sz w:val="19"/>
        </w:rPr>
        <w:t>• Modal price may not represent the exact transaction price received by every farmer or quality grade.</w:t>
      </w:r>
    </w:p>
    <w:p w14:paraId="5338B566" w14:textId="77777777" w:rsidR="00E6027D" w:rsidRDefault="00000000">
      <w:pPr>
        <w:spacing w:after="20"/>
        <w:ind w:left="173" w:hanging="144"/>
      </w:pPr>
      <w:r>
        <w:rPr>
          <w:sz w:val="19"/>
        </w:rPr>
        <w:t>• Unexpected weather, policy changes, supply shocks, festivals, and other events can alter price behaviour.</w:t>
      </w:r>
    </w:p>
    <w:p w14:paraId="4193F14E" w14:textId="77777777" w:rsidR="00E6027D" w:rsidRDefault="00000000">
      <w:pPr>
        <w:spacing w:after="20"/>
        <w:ind w:left="173" w:hanging="144"/>
      </w:pPr>
      <w:r>
        <w:rPr>
          <w:sz w:val="19"/>
        </w:rPr>
        <w:t>• Transport cost depends on route, vehicle, quantity, fuel price, and local conditions and must not be assumed without evidence.</w:t>
      </w:r>
    </w:p>
    <w:p w14:paraId="639D22B6" w14:textId="77777777" w:rsidR="00E6027D" w:rsidRDefault="00000000">
      <w:pPr>
        <w:spacing w:after="20"/>
        <w:ind w:left="173" w:hanging="144"/>
      </w:pPr>
      <w:r>
        <w:rPr>
          <w:sz w:val="19"/>
        </w:rPr>
        <w:t>• Results from selected commodities or markets should not be generalized to all Indian agricultural markets without further validation.</w:t>
      </w:r>
    </w:p>
    <w:p w14:paraId="1E49971B" w14:textId="77777777" w:rsidR="00E6027D" w:rsidRDefault="00000000">
      <w:r>
        <w:br w:type="column"/>
      </w:r>
    </w:p>
    <w:p w14:paraId="0836AB5F" w14:textId="77777777" w:rsidR="00E6027D" w:rsidRDefault="00000000">
      <w:pPr>
        <w:keepNext/>
        <w:spacing w:before="60"/>
      </w:pPr>
      <w:r>
        <w:rPr>
          <w:b/>
          <w:color w:val="2F6FAE"/>
          <w:sz w:val="22"/>
        </w:rPr>
        <w:t>12. Future Scope</w:t>
      </w:r>
    </w:p>
    <w:p w14:paraId="345916B5" w14:textId="77777777" w:rsidR="00E6027D" w:rsidRDefault="00000000">
      <w:pPr>
        <w:ind w:firstLine="173"/>
        <w:jc w:val="both"/>
      </w:pPr>
      <w:r>
        <w:t>Future work can integrate weather variables, arrival quantities, live market feeds, geospatial road distance, dynamic fuel prices, storage constraints, and crop perishability. Probabilistic forecasting can be added to communicate uncertainty. A multilingual mobile or web interface can provide farmers with historical trends, forecast ranges, nearby market comparisons, and transparent recommendation explanations. The framework can also be evaluated prospectively using real farmer decisions rather than only historical back-testing.</w:t>
      </w:r>
    </w:p>
    <w:p w14:paraId="58C8E443" w14:textId="77777777" w:rsidR="00E6027D" w:rsidRDefault="00000000">
      <w:pPr>
        <w:keepNext/>
        <w:spacing w:before="60"/>
      </w:pPr>
      <w:r>
        <w:rPr>
          <w:b/>
          <w:color w:val="2F6FAE"/>
          <w:sz w:val="22"/>
        </w:rPr>
        <w:t>13. Conclusion</w:t>
      </w:r>
    </w:p>
    <w:p w14:paraId="2DE9B542" w14:textId="77777777" w:rsidR="00E6027D" w:rsidRDefault="00000000">
      <w:pPr>
        <w:ind w:firstLine="173"/>
        <w:jc w:val="both"/>
      </w:pPr>
      <w:r>
        <w:t>This paper presents an intelligent agricultural market price forecasting and recommendation framework using historical Indian mandi data. The proposed pipeline combines data preprocessing, temporal and historical feature engineering, machine-learning and time-series forecasting, cross-market comparison, and an optional net-return-based recommendation stage. Chronological validation and independent recommendation back-testing are emphasized to reduce leakage and evaluate practical usefulness. The framework provides a research-oriented foundation for agricultural market decision support while clearly distinguishing forecast evidence from additional assumptions required for transport-cost and profit estimation.</w:t>
      </w:r>
    </w:p>
    <w:p w14:paraId="79DB736C" w14:textId="77777777" w:rsidR="00E6027D" w:rsidRDefault="00000000">
      <w:pPr>
        <w:keepNext/>
        <w:spacing w:before="60"/>
      </w:pPr>
      <w:r>
        <w:rPr>
          <w:b/>
          <w:color w:val="2F6FAE"/>
          <w:sz w:val="22"/>
        </w:rPr>
        <w:t>14. References</w:t>
      </w:r>
    </w:p>
    <w:p w14:paraId="72E7FD41" w14:textId="77777777" w:rsidR="00E6027D" w:rsidRDefault="00000000">
      <w:pPr>
        <w:ind w:left="173" w:hanging="173"/>
        <w:jc w:val="both"/>
      </w:pPr>
      <w:r>
        <w:rPr>
          <w:sz w:val="16"/>
        </w:rPr>
        <w:t>[1] W. Ma, K. Nowocin, N. Marathe, and G. H. Chen, “An Interpretable Produce Price Forecasting System for Small and Marginal Farmers in India using Collaborative Filtering and Adaptive Nearest Neighbors,” Proc. ICTD, 2019, doi: 10.1145/3287098.3287100.</w:t>
      </w:r>
    </w:p>
    <w:p w14:paraId="48EB8CBE" w14:textId="77777777" w:rsidR="00E6027D" w:rsidRDefault="00000000">
      <w:pPr>
        <w:ind w:left="173" w:hanging="173"/>
        <w:jc w:val="both"/>
      </w:pPr>
      <w:r>
        <w:rPr>
          <w:sz w:val="16"/>
        </w:rPr>
        <w:t>[2] R. K. Paul et al., “Machine learning techniques for forecasting agricultural prices: A case of brinjal in Odisha, India,” PLOS ONE, vol. 17, no. 7, e0270553, 2022, doi: 10.1371/journal.pone.0270553.</w:t>
      </w:r>
    </w:p>
    <w:p w14:paraId="0F831EAE" w14:textId="77777777" w:rsidR="00E6027D" w:rsidRDefault="00000000">
      <w:pPr>
        <w:ind w:left="173" w:hanging="173"/>
        <w:jc w:val="both"/>
      </w:pPr>
      <w:r>
        <w:rPr>
          <w:sz w:val="16"/>
        </w:rPr>
        <w:t>[3] G. H. Harish Nayak et al., “Exogenous variable driven deep learning models for improved price forecasting of TOP crops in India,” Scientific Reports, vol. 14, 17203, 2024, doi: 10.1038/s41598-024-68040-3.</w:t>
      </w:r>
    </w:p>
    <w:p w14:paraId="343CC1E4" w14:textId="77777777" w:rsidR="00E6027D" w:rsidRDefault="00000000">
      <w:pPr>
        <w:ind w:left="173" w:hanging="173"/>
        <w:jc w:val="both"/>
      </w:pPr>
      <w:r>
        <w:rPr>
          <w:sz w:val="16"/>
        </w:rPr>
        <w:t>[4] R. L. Manogna, V. Dharmaji, and S. Sarang, “Enhancing agricultural commodity price forecasting with deep learning,” Scientific Reports, vol. 15, 20903, 2025, doi: 10.1038/s41598-025-05103-z.</w:t>
      </w:r>
    </w:p>
    <w:p w14:paraId="19E72903" w14:textId="77777777" w:rsidR="00E6027D" w:rsidRDefault="00000000">
      <w:pPr>
        <w:ind w:left="173" w:hanging="173"/>
        <w:jc w:val="both"/>
      </w:pPr>
      <w:r>
        <w:rPr>
          <w:sz w:val="16"/>
        </w:rPr>
        <w:t>[5] Directorate of Marketing &amp; Inspection, Ministry of Agriculture &amp; Farmers Welfare, Government of India, “AGMARKNET: Agricultural Marketing Information Network.”</w:t>
      </w:r>
    </w:p>
    <w:p w14:paraId="541D221E" w14:textId="77777777" w:rsidR="00E6027D" w:rsidRDefault="00000000">
      <w:pPr>
        <w:ind w:left="173" w:hanging="173"/>
        <w:jc w:val="both"/>
      </w:pPr>
      <w:r>
        <w:rPr>
          <w:sz w:val="16"/>
        </w:rPr>
        <w:t>[6] Kaggle, “Public Indian agricultural commodity/mandi price datasets derived from AGMARKNET.” Exact dataset title, version, URL, and access date will be recorded for the final experiment.</w:t>
      </w:r>
    </w:p>
    <w:sectPr w:rsidR="00E6027D" w:rsidSect="00034616">
      <w:type w:val="continuous"/>
      <w:pgSz w:w="12240" w:h="15840"/>
      <w:pgMar w:top="691" w:right="749" w:bottom="749" w:left="749" w:header="259" w:footer="288" w:gutter="0"/>
      <w:cols w:num="2" w:space="30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1DF152" w14:textId="77777777" w:rsidR="003D45FC" w:rsidRDefault="003D45FC">
      <w:pPr>
        <w:spacing w:after="0"/>
      </w:pPr>
      <w:r>
        <w:separator/>
      </w:r>
    </w:p>
  </w:endnote>
  <w:endnote w:type="continuationSeparator" w:id="0">
    <w:p w14:paraId="595D3A67" w14:textId="77777777" w:rsidR="003D45FC" w:rsidRDefault="003D45F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455BC" w14:textId="77777777" w:rsidR="00E6027D" w:rsidRDefault="00000000">
    <w:pPr>
      <w:pStyle w:val="Footer"/>
      <w:jc w:val="center"/>
    </w:pPr>
    <w:r>
      <w:rPr>
        <w:sz w:val="15"/>
      </w:rPr>
      <w:t>Intelligent Agricultural Market Price Forecasting and Recommendation Using Machine Learning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FF93A7" w14:textId="77777777" w:rsidR="003D45FC" w:rsidRDefault="003D45FC">
      <w:pPr>
        <w:spacing w:after="0"/>
      </w:pPr>
      <w:r>
        <w:separator/>
      </w:r>
    </w:p>
  </w:footnote>
  <w:footnote w:type="continuationSeparator" w:id="0">
    <w:p w14:paraId="58EA6AB9" w14:textId="77777777" w:rsidR="003D45FC" w:rsidRDefault="003D45FC">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7554B" w14:textId="77777777" w:rsidR="00E6027D" w:rsidRDefault="00E6027D">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64267351">
    <w:abstractNumId w:val="8"/>
  </w:num>
  <w:num w:numId="2" w16cid:durableId="1838418496">
    <w:abstractNumId w:val="6"/>
  </w:num>
  <w:num w:numId="3" w16cid:durableId="69353346">
    <w:abstractNumId w:val="5"/>
  </w:num>
  <w:num w:numId="4" w16cid:durableId="1312057403">
    <w:abstractNumId w:val="4"/>
  </w:num>
  <w:num w:numId="5" w16cid:durableId="1883443460">
    <w:abstractNumId w:val="7"/>
  </w:num>
  <w:num w:numId="6" w16cid:durableId="1730230212">
    <w:abstractNumId w:val="3"/>
  </w:num>
  <w:num w:numId="7" w16cid:durableId="1585528600">
    <w:abstractNumId w:val="2"/>
  </w:num>
  <w:num w:numId="8" w16cid:durableId="1259097648">
    <w:abstractNumId w:val="1"/>
  </w:num>
  <w:num w:numId="9" w16cid:durableId="9208000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D664C"/>
    <w:rsid w:val="0015074B"/>
    <w:rsid w:val="0029639D"/>
    <w:rsid w:val="00326F90"/>
    <w:rsid w:val="003D45FC"/>
    <w:rsid w:val="00931219"/>
    <w:rsid w:val="00AA1D8D"/>
    <w:rsid w:val="00B47730"/>
    <w:rsid w:val="00CB0664"/>
    <w:rsid w:val="00E6027D"/>
    <w:rsid w:val="00F36D2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8825DBE"/>
  <w14:defaultImageDpi w14:val="300"/>
  <w15:docId w15:val="{54166512-6FD7-445D-B42F-14B82596A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40" w:line="240" w:lineRule="auto"/>
    </w:pPr>
    <w:rPr>
      <w:rFonts w:ascii="Times New Roman" w:hAnsi="Times New Roman"/>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2350</Words>
  <Characters>13395</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15714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Intelligent Agricultural Market Price Forecasting and Recommendation Using Machine Learning</dc:title>
  <dc:subject/>
  <dc:creator>Pranit Gopale;Tejas Shelke</dc:creator>
  <cp:keywords/>
  <dc:description>generated by python-docx</dc:description>
  <cp:lastModifiedBy>Pranit Gopale</cp:lastModifiedBy>
  <cp:revision>2</cp:revision>
  <dcterms:created xsi:type="dcterms:W3CDTF">2026-10-09T07:27:00Z</dcterms:created>
  <dcterms:modified xsi:type="dcterms:W3CDTF">2026-10-09T07:27:00Z</dcterms:modified>
  <cp:category/>
</cp:coreProperties>
</file>